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潮州市湘桥区创建全国义务教育优质均衡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发展区自评报告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根据《教育部关于印发〈县域义务教育优质均衡发展督导评估办法〉的</w:t>
      </w:r>
      <w:bookmarkStart w:id="2" w:name="_GoBack"/>
      <w:bookmarkEnd w:id="2"/>
      <w:r>
        <w:rPr>
          <w:rFonts w:hint="eastAsia" w:ascii="仿宋_GB2312" w:hAnsi="仿宋_GB2312" w:eastAsia="仿宋_GB2312" w:cs="仿宋_GB2312"/>
          <w:sz w:val="32"/>
          <w:szCs w:val="32"/>
        </w:rPr>
        <w:t>通知》及广东省相关文件要求，湘桥区对照评估标准，结合近年教育教学工作实绩，全面梳理区域义务教育发展现状，深入开展自查自评，现将有关情况报告如下：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（一）区域经济社会概况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湘桥区作为潮州市主城区，地处韩江中下游，总面积325.35平方公里，下辖5个街道、4个镇，常住人口约57万人，户籍人口约45万人。作为“中国潮州菜之乡”“中国婚纱礼服名城”核心区域，湘桥区历史文化底蕴深厚，拥有广济桥、开元寺等国家级文保单位。近年来依托“文化+产业”融合发展战略，2023年全区生产总值达286.5亿元，一般公共预算收入12.8亿元，为教育事业发展奠定坚实经济基础，持续保障教育投入与质量提升双向发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（二）义务教育发展基础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截至2025年9月，全区共有义务教育阶段学校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97</w:t>
      </w:r>
      <w:r>
        <w:rPr>
          <w:rFonts w:hint="eastAsia" w:ascii="仿宋_GB2312" w:hAnsi="仿宋_GB2312" w:eastAsia="仿宋_GB2312" w:cs="仿宋_GB2312"/>
          <w:sz w:val="32"/>
          <w:szCs w:val="32"/>
        </w:rPr>
        <w:t>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含市直4所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其中小学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所、初中1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所、九年一贯制学校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所、十二年一贯制学校1所、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完全中学2所、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特殊教育学校1所；义务教育阶段在校学生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66360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人，其中小学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45721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人、初中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20639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人；专任教师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4233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人，其中小学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2605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人、初中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1628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人，教师队伍中本科及以上学历占比89.2%，县级以上骨干教师326人，占比10.9%。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近年来，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湘桥区</w:t>
      </w:r>
      <w:r>
        <w:rPr>
          <w:rFonts w:hint="eastAsia" w:ascii="仿宋_GB2312" w:hAnsi="仿宋_GB2312" w:eastAsia="仿宋_GB2312" w:cs="仿宋_GB2312"/>
          <w:sz w:val="32"/>
          <w:szCs w:val="32"/>
        </w:rPr>
        <w:t>委、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区</w:t>
      </w:r>
      <w:r>
        <w:rPr>
          <w:rFonts w:hint="eastAsia" w:ascii="仿宋_GB2312" w:hAnsi="仿宋_GB2312" w:eastAsia="仿宋_GB2312" w:cs="仿宋_GB2312"/>
          <w:sz w:val="32"/>
          <w:szCs w:val="32"/>
        </w:rPr>
        <w:t>政府坚持把教育作为民生之首、发展之基，持续加大教育投入，不断深化教育改革，先后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成功创建</w:t>
      </w:r>
      <w:r>
        <w:rPr>
          <w:rFonts w:hint="eastAsia" w:ascii="仿宋_GB2312" w:hAnsi="仿宋_GB2312" w:eastAsia="仿宋_GB2312" w:cs="仿宋_GB2312"/>
          <w:sz w:val="32"/>
          <w:szCs w:val="32"/>
        </w:rPr>
        <w:t>“广东省教育强区”“广东省推进教育现代化先进区”“全国义务教育发展基本均衡区”，教育教学质量持续攀升，2022-2024年中考高分屏蔽人数占比年均提升5%，区域教育综合实力稳步提升。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二、主要指标自评情况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（一）资源配置7项指标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/>
          <w:b/>
          <w:bCs/>
          <w:kern w:val="0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义务教育阶段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所学校每百名学生拥有高于规定学历教师数、每百名学生拥有县级及以上骨干教师数、每百名学生拥有体育、艺术(美术、音乐)专任教师数、生均教学及辅助用房面积、生均体育运动场馆面积、生均教学仪器设备值、每百名学生拥有网络多媒体教室数等7项资源指标，所有学校各项指标均达到评估标准，达标学校比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达到评估要求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ind w:left="0" w:leftChars="0" w:right="0" w:rightChars="0" w:firstLine="0" w:firstLineChars="0"/>
        <w:jc w:val="center"/>
        <w:rPr>
          <w:rFonts w:hint="eastAsia" w:ascii="楷体_GB2312" w:hAnsi="楷体_GB2312" w:eastAsia="楷体_GB2312"/>
          <w:b/>
          <w:bCs/>
          <w:kern w:val="0"/>
          <w:sz w:val="32"/>
          <w:szCs w:val="28"/>
        </w:rPr>
      </w:pPr>
      <w:r>
        <w:rPr>
          <w:rFonts w:hint="eastAsia" w:ascii="楷体_GB2312" w:hAnsi="楷体_GB2312" w:eastAsia="楷体_GB2312"/>
          <w:b/>
          <w:bCs/>
          <w:kern w:val="0"/>
          <w:sz w:val="32"/>
          <w:szCs w:val="28"/>
        </w:rPr>
        <w:t>小学、初中资源配置基本情况</w:t>
      </w:r>
    </w:p>
    <w:tbl>
      <w:tblPr>
        <w:tblStyle w:val="6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5"/>
        <w:gridCol w:w="1725"/>
        <w:gridCol w:w="907"/>
        <w:gridCol w:w="907"/>
        <w:gridCol w:w="1004"/>
        <w:gridCol w:w="810"/>
        <w:gridCol w:w="907"/>
        <w:gridCol w:w="907"/>
        <w:gridCol w:w="907"/>
        <w:gridCol w:w="9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9" w:hRule="exact"/>
          <w:jc w:val="center"/>
        </w:trPr>
        <w:tc>
          <w:tcPr>
            <w:tcW w:w="234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widowControl/>
              <w:spacing w:line="580" w:lineRule="exact"/>
              <w:jc w:val="center"/>
              <w:rPr>
                <w:b/>
                <w:bCs/>
                <w:kern w:val="0"/>
                <w:sz w:val="18"/>
                <w:szCs w:val="18"/>
              </w:rPr>
            </w:pPr>
            <w:r>
              <w:rPr>
                <w:b/>
                <w:bCs/>
                <w:kern w:val="0"/>
                <w:sz w:val="18"/>
                <w:szCs w:val="18"/>
              </w:rPr>
              <w:t>　</w:t>
            </w: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b/>
                <w:bCs/>
                <w:kern w:val="0"/>
                <w:sz w:val="18"/>
                <w:szCs w:val="18"/>
              </w:rPr>
            </w:pPr>
            <w:r>
              <w:rPr>
                <w:b/>
                <w:bCs/>
                <w:kern w:val="0"/>
                <w:sz w:val="18"/>
                <w:szCs w:val="18"/>
              </w:rPr>
              <w:t>每百名学生拥有高于规定学历教师数</w:t>
            </w: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b/>
                <w:bCs/>
                <w:kern w:val="0"/>
                <w:sz w:val="18"/>
                <w:szCs w:val="18"/>
              </w:rPr>
            </w:pPr>
            <w:r>
              <w:rPr>
                <w:b/>
                <w:bCs/>
                <w:kern w:val="0"/>
                <w:sz w:val="18"/>
                <w:szCs w:val="18"/>
              </w:rPr>
              <w:t>每百名学生拥有县级及以上骨干教师数</w:t>
            </w:r>
          </w:p>
        </w:tc>
        <w:tc>
          <w:tcPr>
            <w:tcW w:w="10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b/>
                <w:bCs/>
                <w:kern w:val="0"/>
                <w:sz w:val="18"/>
                <w:szCs w:val="18"/>
              </w:rPr>
            </w:pPr>
            <w:r>
              <w:rPr>
                <w:b/>
                <w:bCs/>
                <w:kern w:val="0"/>
                <w:sz w:val="18"/>
                <w:szCs w:val="18"/>
              </w:rPr>
              <w:t>每百名学生拥有体育、艺术 (美术、音乐)专任教师数</w:t>
            </w:r>
          </w:p>
        </w:tc>
        <w:tc>
          <w:tcPr>
            <w:tcW w:w="8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b/>
                <w:bCs/>
                <w:kern w:val="0"/>
                <w:sz w:val="18"/>
                <w:szCs w:val="18"/>
              </w:rPr>
            </w:pPr>
            <w:r>
              <w:rPr>
                <w:b/>
                <w:bCs/>
                <w:kern w:val="0"/>
                <w:sz w:val="18"/>
                <w:szCs w:val="18"/>
              </w:rPr>
              <w:t>生均教学及辅助用房面积</w:t>
            </w:r>
            <w:r>
              <w:rPr>
                <w:b/>
                <w:bCs/>
                <w:kern w:val="0"/>
                <w:sz w:val="18"/>
                <w:szCs w:val="18"/>
              </w:rPr>
              <w:br w:type="textWrapping"/>
            </w:r>
            <w:r>
              <w:rPr>
                <w:b/>
                <w:bCs/>
                <w:kern w:val="0"/>
                <w:sz w:val="18"/>
                <w:szCs w:val="18"/>
              </w:rPr>
              <w:t>（㎡</w:t>
            </w:r>
            <w:r>
              <w:rPr>
                <w:rFonts w:eastAsia="微软雅黑"/>
                <w:b/>
                <w:bCs/>
                <w:kern w:val="0"/>
                <w:sz w:val="18"/>
                <w:szCs w:val="18"/>
              </w:rPr>
              <w:t>）</w:t>
            </w: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b/>
                <w:bCs/>
                <w:kern w:val="0"/>
                <w:sz w:val="18"/>
                <w:szCs w:val="18"/>
              </w:rPr>
            </w:pPr>
            <w:r>
              <w:rPr>
                <w:b/>
                <w:bCs/>
                <w:kern w:val="0"/>
                <w:sz w:val="18"/>
                <w:szCs w:val="18"/>
              </w:rPr>
              <w:t>生均体育运动场馆面积（㎡</w:t>
            </w:r>
            <w:r>
              <w:rPr>
                <w:rFonts w:eastAsia="微软雅黑"/>
                <w:b/>
                <w:bCs/>
                <w:kern w:val="0"/>
                <w:sz w:val="18"/>
                <w:szCs w:val="18"/>
              </w:rPr>
              <w:t>）</w:t>
            </w: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b/>
                <w:bCs/>
                <w:kern w:val="0"/>
                <w:sz w:val="18"/>
                <w:szCs w:val="18"/>
              </w:rPr>
            </w:pPr>
            <w:r>
              <w:rPr>
                <w:b/>
                <w:bCs/>
                <w:kern w:val="0"/>
                <w:sz w:val="18"/>
                <w:szCs w:val="18"/>
              </w:rPr>
              <w:t>生均教学仪器设备值</w:t>
            </w:r>
          </w:p>
          <w:p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b/>
                <w:bCs/>
                <w:kern w:val="0"/>
                <w:sz w:val="18"/>
                <w:szCs w:val="18"/>
              </w:rPr>
            </w:pPr>
            <w:r>
              <w:rPr>
                <w:b/>
                <w:bCs/>
                <w:kern w:val="0"/>
                <w:sz w:val="18"/>
                <w:szCs w:val="18"/>
              </w:rPr>
              <w:t>(元)</w:t>
            </w: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b/>
                <w:bCs/>
                <w:kern w:val="0"/>
                <w:sz w:val="18"/>
                <w:szCs w:val="18"/>
              </w:rPr>
            </w:pPr>
            <w:r>
              <w:rPr>
                <w:b/>
                <w:bCs/>
                <w:kern w:val="0"/>
                <w:sz w:val="18"/>
                <w:szCs w:val="18"/>
              </w:rPr>
              <w:t>每百名学生拥有网络多媒体教室数</w:t>
            </w: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b/>
                <w:bCs/>
                <w:kern w:val="0"/>
                <w:sz w:val="18"/>
                <w:szCs w:val="18"/>
              </w:rPr>
            </w:pPr>
            <w:r>
              <w:rPr>
                <w:b/>
                <w:bCs/>
                <w:kern w:val="0"/>
                <w:sz w:val="18"/>
                <w:szCs w:val="18"/>
              </w:rPr>
              <w:t>综合评估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exact"/>
          <w:jc w:val="center"/>
        </w:trPr>
        <w:tc>
          <w:tcPr>
            <w:tcW w:w="234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widowControl/>
              <w:spacing w:line="580" w:lineRule="exact"/>
              <w:jc w:val="left"/>
              <w:rPr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b/>
                <w:bCs/>
                <w:kern w:val="0"/>
                <w:sz w:val="18"/>
                <w:szCs w:val="18"/>
              </w:rPr>
            </w:pPr>
            <w:r>
              <w:rPr>
                <w:b/>
                <w:bCs/>
                <w:kern w:val="0"/>
                <w:sz w:val="18"/>
                <w:szCs w:val="18"/>
              </w:rPr>
              <w:t>L1</w:t>
            </w: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b/>
                <w:bCs/>
                <w:kern w:val="0"/>
                <w:sz w:val="18"/>
                <w:szCs w:val="18"/>
              </w:rPr>
            </w:pPr>
            <w:r>
              <w:rPr>
                <w:b/>
                <w:bCs/>
                <w:kern w:val="0"/>
                <w:sz w:val="18"/>
                <w:szCs w:val="18"/>
              </w:rPr>
              <w:t>L2</w:t>
            </w:r>
          </w:p>
        </w:tc>
        <w:tc>
          <w:tcPr>
            <w:tcW w:w="10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b/>
                <w:bCs/>
                <w:kern w:val="0"/>
                <w:sz w:val="18"/>
                <w:szCs w:val="18"/>
              </w:rPr>
            </w:pPr>
            <w:r>
              <w:rPr>
                <w:b/>
                <w:bCs/>
                <w:kern w:val="0"/>
                <w:sz w:val="18"/>
                <w:szCs w:val="18"/>
              </w:rPr>
              <w:t>L3</w:t>
            </w:r>
          </w:p>
        </w:tc>
        <w:tc>
          <w:tcPr>
            <w:tcW w:w="8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b/>
                <w:bCs/>
                <w:kern w:val="0"/>
                <w:sz w:val="18"/>
                <w:szCs w:val="18"/>
              </w:rPr>
            </w:pPr>
            <w:r>
              <w:rPr>
                <w:b/>
                <w:bCs/>
                <w:kern w:val="0"/>
                <w:sz w:val="18"/>
                <w:szCs w:val="18"/>
              </w:rPr>
              <w:t>L4</w:t>
            </w: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b/>
                <w:bCs/>
                <w:kern w:val="0"/>
                <w:sz w:val="18"/>
                <w:szCs w:val="18"/>
              </w:rPr>
            </w:pPr>
            <w:r>
              <w:rPr>
                <w:b/>
                <w:bCs/>
                <w:kern w:val="0"/>
                <w:sz w:val="18"/>
                <w:szCs w:val="18"/>
              </w:rPr>
              <w:t>L5</w:t>
            </w: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b/>
                <w:bCs/>
                <w:kern w:val="0"/>
                <w:sz w:val="18"/>
                <w:szCs w:val="18"/>
              </w:rPr>
            </w:pPr>
            <w:r>
              <w:rPr>
                <w:b/>
                <w:bCs/>
                <w:kern w:val="0"/>
                <w:sz w:val="18"/>
                <w:szCs w:val="18"/>
              </w:rPr>
              <w:t>L6</w:t>
            </w: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b/>
                <w:bCs/>
                <w:kern w:val="0"/>
                <w:sz w:val="18"/>
                <w:szCs w:val="18"/>
              </w:rPr>
            </w:pPr>
            <w:bookmarkStart w:id="0" w:name="OLE_LINK4"/>
            <w:r>
              <w:rPr>
                <w:b/>
                <w:bCs/>
                <w:kern w:val="0"/>
                <w:sz w:val="18"/>
                <w:szCs w:val="18"/>
              </w:rPr>
              <w:t>L7</w:t>
            </w:r>
            <w:bookmarkEnd w:id="0"/>
          </w:p>
        </w:tc>
        <w:tc>
          <w:tcPr>
            <w:tcW w:w="9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b/>
                <w:bCs/>
                <w:kern w:val="0"/>
                <w:sz w:val="18"/>
                <w:szCs w:val="18"/>
              </w:rPr>
            </w:pPr>
            <w:r>
              <w:rPr>
                <w:b/>
                <w:bCs/>
                <w:kern w:val="0"/>
                <w:sz w:val="18"/>
                <w:szCs w:val="18"/>
              </w:rPr>
              <w:t>L8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1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widowControl/>
              <w:spacing w:line="58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小学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达标学校总数</w:t>
            </w: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0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8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9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1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widowControl/>
              <w:spacing w:line="580" w:lineRule="exact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达标学校比例（%）</w:t>
            </w: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98.72</w:t>
            </w: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</w:t>
            </w:r>
          </w:p>
        </w:tc>
        <w:tc>
          <w:tcPr>
            <w:tcW w:w="10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</w:t>
            </w:r>
          </w:p>
        </w:tc>
        <w:tc>
          <w:tcPr>
            <w:tcW w:w="8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87.18</w:t>
            </w: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93.59</w:t>
            </w: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97.44</w:t>
            </w: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97.44</w:t>
            </w:r>
          </w:p>
        </w:tc>
        <w:tc>
          <w:tcPr>
            <w:tcW w:w="9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1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widowControl/>
              <w:spacing w:line="58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初中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达标学校总数</w:t>
            </w: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0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8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9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1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widowControl/>
              <w:spacing w:line="580" w:lineRule="exact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达标学校比例（%）</w:t>
            </w: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</w:t>
            </w: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</w:t>
            </w:r>
          </w:p>
        </w:tc>
        <w:tc>
          <w:tcPr>
            <w:tcW w:w="10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92.86</w:t>
            </w:r>
          </w:p>
        </w:tc>
        <w:tc>
          <w:tcPr>
            <w:tcW w:w="8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85.71</w:t>
            </w: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85.71</w:t>
            </w: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</w:t>
            </w: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96.43</w:t>
            </w:r>
          </w:p>
        </w:tc>
        <w:tc>
          <w:tcPr>
            <w:tcW w:w="9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</w:t>
            </w:r>
          </w:p>
        </w:tc>
      </w:tr>
    </w:tbl>
    <w:p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firstLine="640" w:firstLineChars="200"/>
        <w:jc w:val="both"/>
        <w:textAlignment w:val="auto"/>
        <w:outlineLvl w:val="9"/>
        <w:rPr>
          <w:rFonts w:hint="eastAsia" w:ascii="楷体_GB2312" w:eastAsia="楷体_GB2312"/>
          <w:b w:val="0"/>
          <w:bCs w:val="0"/>
          <w:sz w:val="32"/>
          <w:szCs w:val="32"/>
          <w:lang w:eastAsia="zh-CN"/>
        </w:rPr>
      </w:pPr>
      <w:r>
        <w:rPr>
          <w:rFonts w:hint="eastAsia" w:ascii="楷体_GB2312" w:eastAsia="楷体_GB2312"/>
          <w:b w:val="0"/>
          <w:bCs w:val="0"/>
          <w:sz w:val="32"/>
          <w:szCs w:val="32"/>
          <w:lang w:eastAsia="zh-CN"/>
        </w:rPr>
        <w:t>（备注：其中含一贯制学校</w:t>
      </w:r>
      <w:r>
        <w:rPr>
          <w:rFonts w:hint="eastAsia" w:ascii="楷体_GB2312" w:eastAsia="楷体_GB2312"/>
          <w:b w:val="0"/>
          <w:bCs w:val="0"/>
          <w:sz w:val="32"/>
          <w:szCs w:val="32"/>
          <w:lang w:val="en-US" w:eastAsia="zh-CN"/>
        </w:rPr>
        <w:t>11所</w:t>
      </w:r>
      <w:r>
        <w:rPr>
          <w:rFonts w:hint="eastAsia" w:ascii="楷体_GB2312" w:eastAsia="楷体_GB2312"/>
          <w:b w:val="0"/>
          <w:bCs w:val="0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/>
          <w:sz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县域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义务教育</w:t>
      </w:r>
      <w:r>
        <w:rPr>
          <w:rFonts w:hint="eastAsia" w:ascii="仿宋_GB2312" w:eastAsia="仿宋_GB2312"/>
          <w:sz w:val="32"/>
          <w:szCs w:val="32"/>
          <w:lang w:eastAsia="zh-CN"/>
        </w:rPr>
        <w:t>校际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均衡7</w:t>
      </w:r>
      <w:r>
        <w:rPr>
          <w:rFonts w:hint="eastAsia" w:ascii="仿宋_GB2312" w:eastAsia="仿宋_GB2312"/>
          <w:sz w:val="32"/>
          <w:szCs w:val="32"/>
          <w:lang w:eastAsia="zh-CN"/>
        </w:rPr>
        <w:t>项指标，小学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阶段七</w:t>
      </w:r>
      <w:r>
        <w:rPr>
          <w:rFonts w:hint="eastAsia" w:ascii="仿宋_GB2312" w:eastAsia="仿宋_GB2312"/>
          <w:sz w:val="32"/>
          <w:szCs w:val="32"/>
          <w:lang w:eastAsia="zh-CN"/>
        </w:rPr>
        <w:t>项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指标差异系数在0.202-0.486之间，</w:t>
      </w:r>
      <w:r>
        <w:rPr>
          <w:rFonts w:hint="eastAsia" w:ascii="仿宋_GB2312" w:eastAsia="仿宋_GB2312"/>
          <w:sz w:val="32"/>
          <w:szCs w:val="32"/>
          <w:lang w:eastAsia="zh-CN"/>
        </w:rPr>
        <w:t>综合差异系数为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0.358</w:t>
      </w:r>
      <w:r>
        <w:rPr>
          <w:rFonts w:hint="eastAsia" w:ascii="仿宋_GB2312" w:eastAsia="仿宋_GB2312"/>
          <w:sz w:val="32"/>
          <w:szCs w:val="32"/>
          <w:lang w:eastAsia="zh-CN"/>
        </w:rPr>
        <w:t>；初中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阶段七项</w:t>
      </w:r>
      <w:r>
        <w:rPr>
          <w:rFonts w:hint="eastAsia" w:ascii="仿宋_GB2312" w:eastAsia="仿宋_GB2312"/>
          <w:sz w:val="32"/>
          <w:szCs w:val="32"/>
          <w:lang w:eastAsia="zh-CN"/>
        </w:rPr>
        <w:t>指标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差异系数在0.151-0.420之间，</w:t>
      </w:r>
      <w:r>
        <w:rPr>
          <w:rFonts w:hint="eastAsia" w:ascii="仿宋_GB2312" w:eastAsia="仿宋_GB2312"/>
          <w:sz w:val="32"/>
          <w:szCs w:val="32"/>
          <w:lang w:eastAsia="zh-CN"/>
        </w:rPr>
        <w:t>综合差异系数为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0.280。</w:t>
      </w:r>
    </w:p>
    <w:p>
      <w:pPr>
        <w:pStyle w:val="13"/>
        <w:spacing w:line="580" w:lineRule="exact"/>
        <w:jc w:val="center"/>
        <w:rPr>
          <w:rFonts w:hint="eastAsia" w:ascii="楷体_GB2312" w:hAnsi="楷体_GB2312" w:eastAsia="楷体_GB2312"/>
          <w:b/>
          <w:bCs/>
          <w:sz w:val="32"/>
          <w:szCs w:val="28"/>
        </w:rPr>
      </w:pPr>
      <w:r>
        <w:rPr>
          <w:rFonts w:hint="eastAsia" w:ascii="楷体_GB2312" w:hAnsi="楷体_GB2312" w:eastAsia="楷体_GB2312"/>
          <w:b/>
          <w:bCs/>
          <w:sz w:val="32"/>
          <w:szCs w:val="28"/>
        </w:rPr>
        <w:t>县域义务教育校际均衡情况</w:t>
      </w:r>
    </w:p>
    <w:tbl>
      <w:tblPr>
        <w:tblStyle w:val="6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231"/>
        <w:gridCol w:w="850"/>
        <w:gridCol w:w="850"/>
        <w:gridCol w:w="850"/>
        <w:gridCol w:w="850"/>
        <w:gridCol w:w="850"/>
        <w:gridCol w:w="1070"/>
        <w:gridCol w:w="840"/>
        <w:gridCol w:w="92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0" w:hRule="atLeast"/>
          <w:jc w:val="center"/>
        </w:trPr>
        <w:tc>
          <w:tcPr>
            <w:tcW w:w="2071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300" w:lineRule="exact"/>
              <w:ind w:left="0" w:leftChars="0" w:right="0" w:rightChars="0" w:firstLine="0" w:firstLineChars="0"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  <w:bookmarkStart w:id="1" w:name="OLE_LINK3" w:colFirst="1" w:colLast="7"/>
            <w:r>
              <w:rPr>
                <w:b/>
                <w:b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300" w:lineRule="exact"/>
              <w:ind w:left="0" w:leftChars="0" w:right="0" w:rightChars="0" w:firstLine="0" w:firstLineChars="0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kern w:val="0"/>
                <w:sz w:val="18"/>
                <w:szCs w:val="18"/>
              </w:rPr>
              <w:t>每百名学生拥有高于规定学历教师数</w:t>
            </w: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300" w:lineRule="exact"/>
              <w:ind w:left="0" w:leftChars="0" w:right="0" w:rightChars="0" w:firstLine="0" w:firstLineChars="0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kern w:val="0"/>
                <w:sz w:val="18"/>
                <w:szCs w:val="18"/>
              </w:rPr>
              <w:t>每百名学生拥有县级及以上骨干教师数</w:t>
            </w: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300" w:lineRule="exact"/>
              <w:ind w:left="0" w:leftChars="0" w:right="0" w:rightChars="0" w:firstLine="0" w:firstLineChars="0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kern w:val="0"/>
                <w:sz w:val="18"/>
                <w:szCs w:val="18"/>
              </w:rPr>
              <w:t>每百名学生拥有体育、艺术(美术、音乐)专任教师数</w:t>
            </w: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300" w:lineRule="exact"/>
              <w:ind w:left="0" w:leftChars="0" w:right="0" w:rightChars="0" w:firstLine="0" w:firstLineChars="0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kern w:val="0"/>
                <w:sz w:val="18"/>
                <w:szCs w:val="18"/>
              </w:rPr>
              <w:t>生均教学及辅助用房面积</w:t>
            </w:r>
            <w:r>
              <w:rPr>
                <w:b/>
                <w:bCs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b/>
                <w:bCs/>
                <w:color w:val="000000"/>
                <w:kern w:val="0"/>
                <w:sz w:val="18"/>
                <w:szCs w:val="18"/>
              </w:rPr>
              <w:t>（㎡</w:t>
            </w:r>
            <w:r>
              <w:rPr>
                <w:rFonts w:eastAsia="微软雅黑"/>
                <w:b/>
                <w:bCs/>
                <w:color w:val="000000"/>
                <w:kern w:val="0"/>
                <w:sz w:val="18"/>
                <w:szCs w:val="18"/>
              </w:rPr>
              <w:t>）</w:t>
            </w: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300" w:lineRule="exact"/>
              <w:ind w:left="0" w:leftChars="0" w:right="0" w:rightChars="0" w:firstLine="0" w:firstLineChars="0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kern w:val="0"/>
                <w:sz w:val="18"/>
                <w:szCs w:val="18"/>
              </w:rPr>
              <w:t>生均体育运动场馆面积（㎡</w:t>
            </w:r>
            <w:r>
              <w:rPr>
                <w:rFonts w:eastAsia="微软雅黑"/>
                <w:b/>
                <w:bCs/>
                <w:color w:val="000000"/>
                <w:kern w:val="0"/>
                <w:sz w:val="18"/>
                <w:szCs w:val="18"/>
              </w:rPr>
              <w:t>）</w:t>
            </w:r>
          </w:p>
        </w:tc>
        <w:tc>
          <w:tcPr>
            <w:tcW w:w="10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300" w:lineRule="exact"/>
              <w:ind w:left="0" w:leftChars="0" w:right="0" w:rightChars="0" w:firstLine="0" w:firstLineChars="0"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b/>
                <w:bCs/>
                <w:color w:val="000000"/>
                <w:kern w:val="0"/>
                <w:sz w:val="18"/>
                <w:szCs w:val="18"/>
              </w:rPr>
              <w:t>生均教学仪器设备值</w:t>
            </w:r>
          </w:p>
          <w:p>
            <w:pPr>
              <w:pStyle w:val="13"/>
              <w:widowControl/>
              <w:spacing w:line="300" w:lineRule="exact"/>
              <w:ind w:left="0" w:leftChars="0" w:right="0" w:rightChars="0" w:firstLine="0" w:firstLineChars="0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kern w:val="0"/>
                <w:sz w:val="18"/>
                <w:szCs w:val="18"/>
              </w:rPr>
              <w:t>(元)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300" w:lineRule="exact"/>
              <w:ind w:left="0" w:leftChars="0" w:right="0" w:rightChars="0" w:firstLine="0" w:firstLineChars="0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kern w:val="0"/>
                <w:sz w:val="18"/>
                <w:szCs w:val="18"/>
              </w:rPr>
              <w:t>每百名学生拥有网络多媒体教室数</w:t>
            </w:r>
          </w:p>
        </w:tc>
        <w:tc>
          <w:tcPr>
            <w:tcW w:w="9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300" w:lineRule="exact"/>
              <w:ind w:left="0" w:leftChars="0" w:right="0" w:rightChars="0" w:firstLine="0" w:firstLineChars="0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kern w:val="0"/>
                <w:sz w:val="18"/>
                <w:szCs w:val="18"/>
              </w:rPr>
              <w:t>综合</w:t>
            </w:r>
          </w:p>
        </w:tc>
      </w:tr>
      <w:bookmarkEnd w:id="1"/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2071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300" w:lineRule="exact"/>
              <w:ind w:left="0" w:leftChars="0" w:right="0" w:rightChars="0" w:firstLine="0" w:firstLineChars="0"/>
              <w:jc w:val="left"/>
              <w:rPr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300" w:lineRule="exact"/>
              <w:ind w:left="0" w:leftChars="0" w:right="0" w:rightChars="0" w:firstLine="0" w:firstLineChars="0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kern w:val="0"/>
                <w:sz w:val="18"/>
                <w:szCs w:val="18"/>
              </w:rPr>
              <w:t>L1</w:t>
            </w: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300" w:lineRule="exact"/>
              <w:ind w:left="0" w:leftChars="0" w:right="0" w:rightChars="0" w:firstLine="0" w:firstLineChars="0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kern w:val="0"/>
                <w:sz w:val="18"/>
                <w:szCs w:val="18"/>
              </w:rPr>
              <w:t>L2</w:t>
            </w: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300" w:lineRule="exact"/>
              <w:ind w:left="0" w:leftChars="0" w:right="0" w:rightChars="0" w:firstLine="0" w:firstLineChars="0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kern w:val="0"/>
                <w:sz w:val="18"/>
                <w:szCs w:val="18"/>
              </w:rPr>
              <w:t>L3</w:t>
            </w: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300" w:lineRule="exact"/>
              <w:ind w:left="0" w:leftChars="0" w:right="0" w:rightChars="0" w:firstLine="0" w:firstLineChars="0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kern w:val="0"/>
                <w:sz w:val="18"/>
                <w:szCs w:val="18"/>
              </w:rPr>
              <w:t>L4</w:t>
            </w: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300" w:lineRule="exact"/>
              <w:ind w:left="0" w:leftChars="0" w:right="0" w:rightChars="0" w:firstLine="0" w:firstLineChars="0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kern w:val="0"/>
                <w:sz w:val="18"/>
                <w:szCs w:val="18"/>
              </w:rPr>
              <w:t>L5</w:t>
            </w:r>
          </w:p>
        </w:tc>
        <w:tc>
          <w:tcPr>
            <w:tcW w:w="10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300" w:lineRule="exact"/>
              <w:ind w:left="0" w:leftChars="0" w:right="0" w:rightChars="0" w:firstLine="0" w:firstLineChars="0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kern w:val="0"/>
                <w:sz w:val="18"/>
                <w:szCs w:val="18"/>
              </w:rPr>
              <w:t>L6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300" w:lineRule="exact"/>
              <w:ind w:left="0" w:leftChars="0" w:right="0" w:rightChars="0" w:firstLine="0" w:firstLineChars="0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kern w:val="0"/>
                <w:sz w:val="18"/>
                <w:szCs w:val="18"/>
              </w:rPr>
              <w:t>L7</w:t>
            </w:r>
          </w:p>
        </w:tc>
        <w:tc>
          <w:tcPr>
            <w:tcW w:w="9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300" w:lineRule="exact"/>
              <w:ind w:left="0" w:leftChars="0" w:right="0" w:rightChars="0" w:firstLine="0" w:firstLineChars="0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kern w:val="0"/>
                <w:sz w:val="18"/>
                <w:szCs w:val="18"/>
              </w:rPr>
              <w:t>L8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300" w:lineRule="exact"/>
              <w:ind w:left="0" w:leftChars="0" w:right="0" w:rightChars="0" w:firstLine="0" w:firstLineChars="0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小学</w:t>
            </w:r>
          </w:p>
        </w:tc>
        <w:tc>
          <w:tcPr>
            <w:tcW w:w="12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300" w:lineRule="exact"/>
              <w:ind w:left="0" w:leftChars="0" w:right="0" w:rightChars="0" w:firstLine="0" w:firstLineChars="0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全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区</w:t>
            </w:r>
            <w:r>
              <w:rPr>
                <w:color w:val="000000"/>
                <w:kern w:val="0"/>
                <w:sz w:val="18"/>
                <w:szCs w:val="18"/>
              </w:rPr>
              <w:t>平均值</w:t>
            </w: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5.59</w:t>
            </w: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1.28</w:t>
            </w: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1.18</w:t>
            </w: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5.28</w:t>
            </w: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8.57</w:t>
            </w:r>
          </w:p>
        </w:tc>
        <w:tc>
          <w:tcPr>
            <w:tcW w:w="10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2581.89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2.73</w:t>
            </w:r>
          </w:p>
        </w:tc>
        <w:tc>
          <w:tcPr>
            <w:tcW w:w="9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300" w:lineRule="exact"/>
              <w:ind w:left="0" w:leftChars="0" w:right="0" w:rightChars="0" w:firstLine="0" w:firstLineChars="0"/>
              <w:jc w:val="left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300" w:lineRule="exact"/>
              <w:ind w:left="0" w:leftChars="0" w:right="0" w:rightChars="0" w:firstLine="0" w:firstLineChars="0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差异系数</w:t>
            </w: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0.377</w:t>
            </w: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0.360</w:t>
            </w: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0.486</w:t>
            </w: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0.334</w:t>
            </w: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0.202</w:t>
            </w:r>
          </w:p>
        </w:tc>
        <w:tc>
          <w:tcPr>
            <w:tcW w:w="10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0.377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0.372</w:t>
            </w:r>
          </w:p>
        </w:tc>
        <w:tc>
          <w:tcPr>
            <w:tcW w:w="9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300" w:lineRule="exact"/>
              <w:ind w:left="0" w:leftChars="0" w:right="0" w:rightChars="0" w:firstLine="0" w:firstLineChars="0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12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300" w:lineRule="exact"/>
              <w:ind w:left="0" w:leftChars="0" w:right="0" w:rightChars="0" w:firstLine="0" w:firstLineChars="0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全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区</w:t>
            </w:r>
            <w:r>
              <w:rPr>
                <w:color w:val="000000"/>
                <w:kern w:val="0"/>
                <w:sz w:val="18"/>
                <w:szCs w:val="18"/>
              </w:rPr>
              <w:t>平均值</w:t>
            </w: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6.85</w:t>
            </w: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1.64</w:t>
            </w: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</w:t>
            </w: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6.34</w:t>
            </w: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10.82</w:t>
            </w:r>
          </w:p>
        </w:tc>
        <w:tc>
          <w:tcPr>
            <w:tcW w:w="10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3290.14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2.71</w:t>
            </w:r>
          </w:p>
        </w:tc>
        <w:tc>
          <w:tcPr>
            <w:tcW w:w="9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300" w:lineRule="exact"/>
              <w:ind w:left="0" w:leftChars="0" w:right="0" w:rightChars="0" w:firstLine="0" w:firstLineChars="0"/>
              <w:jc w:val="left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300" w:lineRule="exact"/>
              <w:ind w:left="0" w:leftChars="0" w:right="0" w:rightChars="0" w:firstLine="0" w:firstLineChars="0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差异系数</w:t>
            </w: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0.151</w:t>
            </w: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0.420</w:t>
            </w: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0.242</w:t>
            </w: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0.336</w:t>
            </w: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0.231</w:t>
            </w:r>
          </w:p>
        </w:tc>
        <w:tc>
          <w:tcPr>
            <w:tcW w:w="10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0.333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0.244</w:t>
            </w:r>
          </w:p>
        </w:tc>
        <w:tc>
          <w:tcPr>
            <w:tcW w:w="9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0.280</w:t>
            </w:r>
          </w:p>
        </w:tc>
      </w:tr>
    </w:tbl>
    <w:p>
      <w:pPr>
        <w:pStyle w:val="9"/>
        <w:ind w:left="0" w:leftChars="0" w:firstLine="0" w:firstLineChars="0"/>
        <w:jc w:val="both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（二）政府保障程度15项指标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/>
          <w:sz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政府保障15项评估指标，我区经过自查自评，14项已达标。潮州市实验学校、湘桥区城南小学、湘桥区昌黎路小学、湘桥区实验学校、湘桥区城西中学规模超过2000人，湘桥区阳光实验学校规模超过2500人，拟通过加快新城学校建设、严格落实招生政策等措施进行整改，预计2027年全面完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（三）教育质量9项指标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县域内义务教育教育质量9项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评估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指标，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我区经过自查自评，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9项指标中8项达标，第31项指标“在国家义务教育质量监测中，相关科目学生学业水平达到Ⅲ级以上，且校际差异率低于0.15”，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湘桥区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目前尚未参加国家级义务教育质量监测，本次自查暂时不作结论，待教育部组织监测，我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自评可以达标。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（四）社会认可度与一票否决情况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近年来，全区学生、家长、教师、校长、人大代表、政协委员及其他群众对本区域教育工作满意度，总体比较满意，社会认可度稳步提高。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另外，我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区</w:t>
      </w:r>
      <w:r>
        <w:rPr>
          <w:rFonts w:hint="eastAsia" w:ascii="仿宋_GB2312" w:hAnsi="仿宋_GB2312" w:eastAsia="仿宋_GB2312" w:cs="仿宋_GB2312"/>
          <w:sz w:val="32"/>
          <w:szCs w:val="32"/>
        </w:rPr>
        <w:t>不存在以考试方式招生；不存在违规择校行为；不存在重点学校或重点班；不存在“有编不补”或长期聘用编外教师的情况；教育系统不存在重大安全责任事故和严重违纪违规事件；无弄虚作假行为。等一票否决情形，教育治理规范化水平获群众广泛认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三、主要做法与成效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（一）强化政府主导，筑牢优质均衡保障体系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1.健全统筹机制：将创建工作纳入区委、区政府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重要议事日程</w:t>
      </w:r>
      <w:r>
        <w:rPr>
          <w:rFonts w:hint="eastAsia" w:ascii="仿宋_GB2312" w:hAnsi="仿宋_GB2312" w:eastAsia="仿宋_GB2312" w:cs="仿宋_GB2312"/>
          <w:sz w:val="32"/>
          <w:szCs w:val="32"/>
        </w:rPr>
        <w:t>，成立由区委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常委、统战部长</w:t>
      </w:r>
      <w:r>
        <w:rPr>
          <w:rFonts w:hint="eastAsia" w:ascii="仿宋_GB2312" w:hAnsi="仿宋_GB2312" w:eastAsia="仿宋_GB2312" w:cs="仿宋_GB2312"/>
          <w:sz w:val="32"/>
          <w:szCs w:val="32"/>
        </w:rPr>
        <w:t>任组长的创建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工作专班</w:t>
      </w:r>
      <w:r>
        <w:rPr>
          <w:rFonts w:hint="eastAsia" w:ascii="仿宋_GB2312" w:hAnsi="仿宋_GB2312" w:eastAsia="仿宋_GB2312" w:cs="仿宋_GB2312"/>
          <w:sz w:val="32"/>
          <w:szCs w:val="32"/>
        </w:rPr>
        <w:t>，建立“指标台账、业务指导、进度督办、督查问责”四大工作体系，形成“区-镇（街道）-学校”三级联动机制。2023年以来召开专题会议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次，解决学校建设、师资配置等问题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8项。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2.完善政策支撑：先后出台《湘桥区教育事业发展“十四五”规划》《湘桥区教育提质三年行动方案（2023-2025）》等文件，明确优质均衡发展目标路径；将教育用地纳入城市总体规划，优先保障学校建设项目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推进广州新华学院潮州实验学校、潮州市实验学校新城分校等4个项目建设。预计202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年投入使用后新增学位3720个，缓解城区学位压力。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3.加大经费投入：近三年累计投入教育基建资金12.6亿元，新改扩建学校11所；2022年区级财政拨付教育经费63567万元（占全年预算92%），学校经费支出率100%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2022年投入402万元完成16所中小学“厕所革命”，改造旱厕、沟槽式厕所，改善校园卫生环境；规范学校维修购置项目管理，全年审批修缮项目95个（投入2692.15万元）、设备采购79宗（1467.82万元），重点改造校舍屋面、墙体、门窗等设施，消除老旧校舍安全隐患。</w:t>
      </w:r>
      <w:r>
        <w:rPr>
          <w:rFonts w:hint="eastAsia" w:ascii="仿宋_GB2312" w:hAnsi="仿宋_GB2312" w:eastAsia="仿宋_GB2312" w:cs="仿宋_GB2312"/>
          <w:sz w:val="32"/>
          <w:szCs w:val="32"/>
        </w:rPr>
        <w:t>2023年投入80万元建设意溪镇5G同步智慧教室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，2024年推进阳光实验学校教学楼扩建项目，设计时预留学生活动空间，计划新增课间活动平台800平方米。</w:t>
      </w:r>
      <w:r>
        <w:rPr>
          <w:rFonts w:hint="eastAsia" w:ascii="仿宋_GB2312" w:hAnsi="仿宋_GB2312" w:eastAsia="仿宋_GB2312" w:cs="仿宋_GB2312"/>
          <w:sz w:val="32"/>
          <w:szCs w:val="32"/>
        </w:rPr>
        <w:t>升级信息化基础设施，推动“湘桥区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校园智慧云</w:t>
      </w:r>
      <w:r>
        <w:rPr>
          <w:rFonts w:hint="eastAsia" w:ascii="仿宋_GB2312" w:hAnsi="仿宋_GB2312" w:eastAsia="仿宋_GB2312" w:cs="仿宋_GB2312"/>
          <w:sz w:val="32"/>
          <w:szCs w:val="32"/>
        </w:rPr>
        <w:t>平台”建设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实现教学、管理、评价全流程数字化，为教育质量提升提供硬件支撑。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（二）优化资源配置，缩小城乡校际差距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1.推进学校建设攻坚：实施“义务教育学校扩容提质工程”，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推进广州新华学院潮州实验学校、湘桥区南春中学新校区、潮州实验学校新城校区等工程建设，抓好意溪中学、铁铺中学两所学校宿舍楼建设项目前期工作。推进城乡教育共同体建设。印发《潮州市湘桥区城乡教育共同体建设实施方案》，组建以城基中学、城南实验中学、湘桥区实验学校为牵头校的三个“城乡教育共同体”。优化义务教育阶段学校布局。做好全区学校布局调整的前期调研和方案起草工作，逐步对现有学生规模不足100人的学校进行撤并，2024年已完成5所学校撤并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促进师资均衡配置：制定《湘桥区义务教育学校教师交流工作实施办法》，采用“片区交流、对口帮扶、竞聘交流”三种模式，近三年交流教师486人（骨干教师占比68.3%）；推行音体美教师“走教”模式，覆盖所有农村学校，2024年开展“名师送教”活动136场次，农村学校优质师资供给显著增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保障特殊群体教育权利：落实随迁子女“两为主”政策，2022年免去随迁子女父母社保要求，扩大公办学位容纳范围；2023年随迁子女公办学校就读率达92.5%，较2021年提升18.3个百分点；对困难学生实行精准资助，2024年发放资助资金425.55万元（惠及5940人次），生源地信用助学贷款办贷流程获省厅调研组高度肯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（三）深化内涵发展，提升教育教学质量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1.加强德育与思政教育：构建“大思政”育人体系，成立“湘桥区中小学思政课教学指导中心”，培育省级思政课骨干教师8人；2022-2024年区委书记连续三年在开学季为师生上思政第一课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开展“扣好人生第一粒扣子”主题活动，“广济桥文化研学”项目获2023年广东省未成年人思想道德建设优秀案例；2022 年举办“学习用典”演讲比赛、“百名大师进校园”活动（57 所学校参与，72 项非遗项目落地）。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2.推进体艺与劳动教育：开齐开足体育课时，确保学生每天1小时体育活动，2024年全区中小学学生体质达标优良率超50%；2022年卧石侨英学校 U12 足球队获全国青少年足球挑战赛季军，2024年下津博雅学校被授予“广东省体能协会田径体能训练基地”；打造“一校一品”艺术特色，挖掘潮州文化资源，指导学校打造特色文化场景，如城南中学建设“广济桥文化研学角”，展示广济桥历史图片与模型；城基中学设置“潮州非遗工坊”，提供潮绣、木雕等实践体验空间；2022年举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</w:rPr>
        <w:t>学习用典”主题演讲比赛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“书香机关四个一”系列活动，在校园内建设读书角、文化长廊，营造书香氛围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，目前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区共有21所市级、5所省级、1所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国级</w:t>
      </w:r>
      <w:r>
        <w:rPr>
          <w:rFonts w:hint="eastAsia" w:ascii="仿宋_GB2312" w:hAnsi="仿宋_GB2312" w:eastAsia="仿宋_GB2312" w:cs="仿宋_GB2312"/>
          <w:sz w:val="32"/>
          <w:szCs w:val="32"/>
        </w:rPr>
        <w:t>“中华优秀文化艺术传承学校”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2024年组织美育浸润帮扶送教活动，推出音乐、美术优质课23节，农村学校美育质量显著提升；深化劳动教育，开发《潮州非遗劳动课程》等特色课程25门，建成研学基地16个，2025年上半年组织近2万学生参与研学实践，实现劳动教育与学科教学深度融合。2024年举办区级“百歌颂中华”比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“苔花开”美育节，8位教师获省美育基本功奖项。2022年组织113所学校开展稻田收割、黄皮果采摘等31场次实地劳动活动，惠及10226名学生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。2025年上半年组织近2万学生参与研学实践（覆盖60所学校），同步完善校园劳动实践设施，如配备劳动工具存放室、成果展示区，将劳动教育融入校园环境。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3.深化“双减”与课改创新：优化课后服务内容，开设科技、艺术、体育等特色课程586门，2022年课后服务实现 “两个全覆盖”（参与学生70771人、教师3821人）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2024年城南中学、铮蓉中学获评全国青少年校园足球特色学校；推进课堂教学改革，打造“韩江课堂”品牌，培育市级以上精品课程36门，2025年利用国家中小学智慧教育平台开展数字教材常态化应用，举办课堂教学云教案征集、基础教育精品课评选等活动，教师课改积极性与课堂效率显著提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强化质量监测与科研支撑：建立“监测-反馈-整改”闭环机制，每学期开展区域教学质量评估；2024年组织申报省第二批铸魂专项课题（2个立项），汇总整理47个区级课题结题资料；依托“福田区教师继续教育”平台，组织全区教师开展专业课网络研修，选派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名骨干教师到深圳福田跟岗培训，教研科研对质量提升的支撑作用持续凸显。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（四）创新治理模式，激发教育发展活力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1.推进集团化办学：组建“湘桥区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阳光</w:t>
      </w:r>
      <w:r>
        <w:rPr>
          <w:rFonts w:hint="eastAsia" w:ascii="仿宋_GB2312" w:hAnsi="仿宋_GB2312" w:eastAsia="仿宋_GB2312" w:cs="仿宋_GB2312"/>
          <w:sz w:val="32"/>
          <w:szCs w:val="32"/>
        </w:rPr>
        <w:t>教育集团”“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韩山师范学院</w:t>
      </w:r>
      <w:r>
        <w:rPr>
          <w:rFonts w:hint="eastAsia" w:ascii="仿宋_GB2312" w:hAnsi="仿宋_GB2312" w:eastAsia="仿宋_GB2312" w:cs="仿宋_GB2312"/>
          <w:sz w:val="32"/>
          <w:szCs w:val="32"/>
        </w:rPr>
        <w:t>教育集团”等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个教育集团，覆盖学校23所，通过“管理互通、师资互派、课程共享”，2023年集团内学校教学质量差距缩小15.6%；韩山师范学院教育集团被定为“广东省首批优质基础教育集团培育对象”，集团化办学成效获省级认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2.打造智慧教育体系：投入1.8亿元推进“智慧校园”建设，实现所有学校“三通两平台”全覆盖，建成智能教室128间、专递课堂32间；2025年计划投入3.2亿元实现所有学校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网络</w:t>
      </w:r>
      <w:r>
        <w:rPr>
          <w:rFonts w:hint="eastAsia" w:ascii="仿宋_GB2312" w:hAnsi="仿宋_GB2312" w:eastAsia="仿宋_GB2312" w:cs="仿宋_GB2312"/>
          <w:sz w:val="32"/>
          <w:szCs w:val="32"/>
        </w:rPr>
        <w:t>全覆盖，推动“湘桥区教育大数据平台”建设，利用大数据精准解决教学问题，智慧教育赋能质量提升效果显著。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完善家校社协同机制：成立“湘桥区家庭教育指导中心”，建成家长学校48所，2024年开展家庭教育讲座216场，惠及家长12万人次；联合社区、企业建立“校外实践基地”35个，形成“学校-家庭-社会”三位一体育人格局，2025年推动家校食品安全家委会建立，定期召开安全联席会议，家校协同育人效能持续增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四、存在问题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1.学位供给仍有缺口：随着城镇化进程加快，城区小学学位紧张问题突出，“大校额”化解需持续推进；韩东、意溪等新兴片区学校建设进度需加快，以匹配人口增长需求。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师资结构有待优化：农村学校音体美、科学学科专任教师不足，全区音体美教师缺口28人；高层次人才占比偏低，现有省级特级教师5人、正高级教师8人，与优质均衡要求存在差距；教师队伍存在老龄化现象，青年教师参与学校行政工作积极性不高，管理层青黄不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学校内涵发展不均衡：部分农村学校办学理念滞后，校园文化特色不鲜明；课程改革深度不足，跨学科、项目化教学实施效果有待提升；教研模式较为单一，与深圳、中山等前端发展城市存在差距，教研对教学质量的推动作用需进一步强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教育评价改革需深化：“唯分数”倾向尚未完全扭转，学生综合素质评价体系不够完善，评价结果在升学、评优中的运用不够充分；教师评价中“师德+业绩+能力”的多元评价机制需进一步落地，以更好激发教师工作积极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五、下一步工作思路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（一）聚焦学位供给，优化教育资源布局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加快学校建设：2024-2026年计划投入15.8亿元，新建学校6所（城区4所、农村2所）、改扩建12所，新增学位1.2万个，彻底化解“大校额”问题；加快推进广州新华学院潮州实验学校、潮州市实验学校新城分校建设，2025年确保阳光实验学校教学楼扩建项目完工，新增学位1800个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2.优化校网结构：有序撤并200人以下的小规模教学点4个，通过“集团化办学”“委托管理”等方式整合资源；推进3个城乡教育共同体建设，深化“管理互通、师资互派、课程共享”，提升农村学校办学效益。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（二）强化师资建设，打造高素质教师队伍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加大引才力度：实施“湘桥教育英才计划”，每年引进硕士以上学历教师50人、省级以上骨干教师10人，对高层次人才给予最高50万元安家补贴；2025年计划通过外出引才签订临时协议5人，公开招聘教师50名，缓解紧缺学科师资压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深化教师交流与培训：扩大教师交流轮岗范围，2025年前实现城区学校教师100%参与交流，农村学校骨干教师占比提升至20%；与韩山师范学院合作开展“名师培养工程”，每年安排教师培训经费400万元，构建“新教师-骨干教师-名师”三级培养体系，三年内培育省级名师15人、市级30人；推广“远程同步课堂”项目，2025年实现农村学校优质课程资源全覆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3.优化教师评价与激励：建立“师德+业绩+能力”的教师评价体系，淡化升学率权重，加大教育教学创新、学生关爱等指标占比；开展“至善校长”“优秀班主任”评选，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每</w:t>
      </w:r>
      <w:r>
        <w:rPr>
          <w:rFonts w:hint="eastAsia" w:ascii="仿宋_GB2312" w:hAnsi="仿宋_GB2312" w:eastAsia="仿宋_GB2312" w:cs="仿宋_GB2312"/>
          <w:sz w:val="32"/>
          <w:szCs w:val="32"/>
        </w:rPr>
        <w:t>年计划表彰先进个人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0名、先进集体1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个，激发教师工作积极性。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（三）深化内涵发展，提升教育教学质量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推进课程改革与特色建设：实施“品牌课程建设工程”，三年内培育区级以上精品课程100门、特色课程50门；深化“韩江课堂”改革，推广项目化、跨学科教学，2025年实现所有学校至少有1门校级特色课程；围绕“文化育人”定位，打造“潮州非遗特色学校”“韩江文化研学学校”等特色品牌，三年内建成市级以上特色学校30所，实现“一校一品、一校多品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强化质量监测与科研支撑：2025年申报参与国家义务教育质量监测，建立“监测-反馈-整改”闭环机制；深化与韩山师范学院的合作，推动高校教师与一线教师协同开展教研，2025年计划立项省级课题5个、市级课题20个，提升教研科研水平；利用“湘桥区教育大数据平台”，精准分析教学问题，为质量提升提供数据支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持续深化“双减”工作：优化“1+X”课后服务模式，2025年新增课后服务特色课程100门，参与率提升至95%以上；规范校外培训机构管理，定期开展专项检查，确保培训内容与义务教育课程标准衔接；加强作业设计指导，开展“优秀作业设计评选”活动，提升作业质量与针对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（四）深化评价改革，构建科学育人体系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完善学生评价：推行“基础+特长”的综合素质评价模式，将劳动、体育、艺术等纳入评价内容，建立学生成长电子档案，评价结果作为升学、评优重要依据；2025年开展“学生综合素质评价示范校”创建活动，培育示范校10所，推动评价改革落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改革教师评价：完善教师师德考核机制，将师德表现作为教师资格定期注册、职称评聘的首要条件；建立教师专业发展档案，记录教师培训、教研、获奖等情况，作为职称评聘、评优评先的重要参考；2025年试点“教师教学创新奖”，鼓励教师探索高效教学方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3.优化学校评价：取消学校升学率排名，从“办学条件、课程实施、师资建设、育人质量”四个维度开展综合评价；2025年开展“优质均衡示范校”评选，培育示范校15所，引导学校聚焦内涵发展。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（五）推进智慧教育，赋能教育高质量发展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1.升级信息化基础设施：2024-2025年投入3.2亿元，实现所有学校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网络</w:t>
      </w:r>
      <w:r>
        <w:rPr>
          <w:rFonts w:hint="eastAsia" w:ascii="仿宋_GB2312" w:hAnsi="仿宋_GB2312" w:eastAsia="仿宋_GB2312" w:cs="仿宋_GB2312"/>
          <w:sz w:val="32"/>
          <w:szCs w:val="32"/>
        </w:rPr>
        <w:t>全覆盖，建成“湘桥区教育大数据平台”，推动教学、管理、评价全流程数字化；2025年新增智能教室50间、专递课堂20间，提升信息化硬件水平。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2.深化信息化应用：扩大“专递课堂”“双师课堂”覆盖面，202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年前实现农村学校优质课程资源全覆盖；开展教师信息化能力培训，三年内实现教师100%掌握智慧教学技能；2025年举办“智慧课堂教学比赛”，推广优秀教学案例，提升信息化应用水平。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湘桥区将以此次创建为契机，坚持以人民为中心发展教育，持续补短板、强弱项、提质量，力争2026年成功创建“全国义务教育优质均衡发展区”，为建设教育强区、办好人民满意的教育作出更大贡献！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潮州市湘桥区人民政府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2025年9月25日</w:t>
      </w:r>
    </w:p>
    <w:p/>
    <w:sectPr>
      <w:footerReference r:id="rId3" w:type="default"/>
      <w:pgSz w:w="11906" w:h="16838"/>
      <w:pgMar w:top="1587" w:right="1474" w:bottom="1247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yZWVjOWVmODlhY2U5ZDliNjdiNTgzMDNkYmZmYzgifQ=="/>
  </w:docVars>
  <w:rsids>
    <w:rsidRoot w:val="1C8838EC"/>
    <w:rsid w:val="03DA005D"/>
    <w:rsid w:val="0A92134D"/>
    <w:rsid w:val="0A9F7800"/>
    <w:rsid w:val="0DAE46EF"/>
    <w:rsid w:val="13EE5846"/>
    <w:rsid w:val="15E72E94"/>
    <w:rsid w:val="19D04EE5"/>
    <w:rsid w:val="1A94296D"/>
    <w:rsid w:val="1C8838EC"/>
    <w:rsid w:val="1DFC1044"/>
    <w:rsid w:val="1F2B4A85"/>
    <w:rsid w:val="1F6F3017"/>
    <w:rsid w:val="2676595F"/>
    <w:rsid w:val="26E52AD8"/>
    <w:rsid w:val="2B6F5066"/>
    <w:rsid w:val="36BA5D2F"/>
    <w:rsid w:val="39D30EB6"/>
    <w:rsid w:val="3AE72E6B"/>
    <w:rsid w:val="3DCA30B3"/>
    <w:rsid w:val="3F4D5267"/>
    <w:rsid w:val="42356146"/>
    <w:rsid w:val="439640A4"/>
    <w:rsid w:val="45592BB7"/>
    <w:rsid w:val="45795008"/>
    <w:rsid w:val="4B0B04B0"/>
    <w:rsid w:val="50083210"/>
    <w:rsid w:val="51030AC8"/>
    <w:rsid w:val="527728CF"/>
    <w:rsid w:val="53016EFE"/>
    <w:rsid w:val="534E0514"/>
    <w:rsid w:val="5406153F"/>
    <w:rsid w:val="57120E18"/>
    <w:rsid w:val="5C254D64"/>
    <w:rsid w:val="61E82EA1"/>
    <w:rsid w:val="6371287C"/>
    <w:rsid w:val="65FA13F5"/>
    <w:rsid w:val="68A90DE6"/>
    <w:rsid w:val="6B006A15"/>
    <w:rsid w:val="6B040620"/>
    <w:rsid w:val="6B4E2728"/>
    <w:rsid w:val="6F1045C7"/>
    <w:rsid w:val="754D6952"/>
    <w:rsid w:val="7ADE7FBC"/>
    <w:rsid w:val="7C490589"/>
    <w:rsid w:val="7FC7647E"/>
    <w:rsid w:val="9FFFC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Body Text First Indent 2"/>
    <w:basedOn w:val="2"/>
    <w:qFormat/>
    <w:uiPriority w:val="0"/>
    <w:pPr>
      <w:ind w:firstLine="420" w:firstLineChars="200"/>
    </w:pPr>
  </w:style>
  <w:style w:type="paragraph" w:customStyle="1" w:styleId="8">
    <w:name w:val="正文 New New New New New New"/>
    <w:next w:val="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9">
    <w:name w:val="正文首行缩进 New"/>
    <w:basedOn w:val="10"/>
    <w:next w:val="11"/>
    <w:qFormat/>
    <w:uiPriority w:val="0"/>
    <w:pPr>
      <w:spacing w:line="500" w:lineRule="exact"/>
      <w:ind w:firstLine="420"/>
    </w:pPr>
    <w:rPr>
      <w:rFonts w:eastAsia="楷体_GB2312"/>
      <w:sz w:val="28"/>
      <w:szCs w:val="28"/>
    </w:rPr>
  </w:style>
  <w:style w:type="paragraph" w:customStyle="1" w:styleId="10">
    <w:name w:val="正文文本 New"/>
    <w:basedOn w:val="11"/>
    <w:next w:val="9"/>
    <w:qFormat/>
    <w:uiPriority w:val="0"/>
    <w:pPr>
      <w:spacing w:line="700" w:lineRule="exact"/>
      <w:jc w:val="center"/>
    </w:pPr>
    <w:rPr>
      <w:rFonts w:eastAsia="黑体"/>
      <w:b/>
      <w:bCs/>
      <w:w w:val="96"/>
      <w:sz w:val="44"/>
    </w:rPr>
  </w:style>
  <w:style w:type="paragraph" w:customStyle="1" w:styleId="11">
    <w:name w:val="正文 New"/>
    <w:next w:val="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2">
    <w:name w:val="正文 New New New New New New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13">
    <w:name w:val="正文 New New New New New New New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潮州市湘桥区机关及下属单位</Company>
  <Pages>12</Pages>
  <Words>6537</Words>
  <Characters>7227</Characters>
  <Lines>0</Lines>
  <Paragraphs>0</Paragraphs>
  <TotalTime>22</TotalTime>
  <ScaleCrop>false</ScaleCrop>
  <LinksUpToDate>false</LinksUpToDate>
  <CharactersWithSpaces>7238</CharactersWithSpaces>
  <Application>WPS Office_11.8.2.10195_F1E327BC-269C-435d-A152-05C5408002CA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2025-09-25T09:41:00Z</dcterms:created>
  <dc:creator>海滨小城</dc:creator>
  <cp:lastModifiedBy>jyj-40</cp:lastModifiedBy>
  <cp:lastPrinted>2025-09-28T15:17:10Z</cp:lastPrinted>
  <dcterms:modified xsi:type="dcterms:W3CDTF">2025-09-28T15:39:14Z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2052-11.8.2.10195</vt:lpwstr>
  </property>
  <property fmtid="{D5CDD505-2E9C-101B-9397-08002B2CF9AE}" pid="3" name="ICV">
    <vt:lpwstr>19981CE5395349B189866AD6F572C2E0_11</vt:lpwstr>
  </property>
</Properties>
</file>