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  <w:t>附件1.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潮州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市民政局关于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贯彻落实《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广东省最低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生活保障家庭经济状况核对和生活状况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综合评估办法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》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有关事项的通知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bookmarkEnd w:id="0"/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20" w:lineRule="exact"/>
        <w:ind w:leftChars="0"/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0"/>
        <w:textAlignment w:val="baseline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各县（区）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民政局：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textAlignment w:val="baseline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为贯彻落实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《广东省最低生活保障家庭经济状况核对和生活状况综合评估办法》（粤民规字〔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〕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号，下称《办法》），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进一步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eastAsia="zh-CN"/>
        </w:rPr>
        <w:t>提升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最低生活保障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精准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性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和实效性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eastAsia="zh-CN"/>
        </w:rPr>
        <w:t>现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</w:rPr>
        <w:t>结合我市实际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eastAsia="zh-CN"/>
        </w:rPr>
        <w:t>，就《办法》中需细化明确事项规定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textAlignment w:val="baseline"/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一、</w:t>
      </w:r>
      <w:r>
        <w:rPr>
          <w:rFonts w:hint="eastAsia" w:ascii="Times New Roman" w:hAnsi="Times New Roman" w:eastAsia="黑体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特定情形的财产认定标准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（一）居住用途不动产。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家庭已拥有2套（栋）或以上居住用途不动产，但人均建筑面积未超过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当地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公租房保障规定标准的，不认定为超过住房标准。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textAlignment w:val="baseline"/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vertAlign w:val="baseli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小型经营性机动车辆</w:t>
      </w: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家庭拥有作为谋生工具的唯一小型经营性机动车辆，且车辆价值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不超过5倍城镇年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最低生活保障标准的，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该项可视为符合财产认定条件。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车辆价值认定依据包括购置发票、机动车损失保险保额、二手车市场公允价值或具备资质的评估机构出具的报告等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，或参照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《中国保险行业协会机动车商业保险示范条款（2020版）》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第十三条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vertAlign w:val="baseline"/>
          <w:lang w:val="en-US" w:eastAsia="zh-CN" w:bidi="ar-SA"/>
        </w:rPr>
        <w:t>机动车的实际价值确定方式进行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kern w:val="2"/>
          <w:sz w:val="32"/>
          <w:szCs w:val="32"/>
          <w:u w:val="none"/>
          <w:shd w:val="clear" w:color="auto" w:fill="FFFFFF"/>
          <w:vertAlign w:val="baseline"/>
          <w:lang w:val="en-US" w:eastAsia="zh-CN" w:bidi="ar-SA"/>
        </w:rPr>
        <w:t>评估。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涉及该项认定时，家庭成员应提供车辆登记证书，并依据车辆用途提供相应证明材料：法律法规规定需办理营运许可证的，应提供有效的营运许可证；其他用于经营的车型，应提供可证明其持续经营性用途的材料（如运输合同、长期供货协议、经营租赁协议、网络预约出租汽车运输证等）。申请人应主动申报营运收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其营运收入在扣除燃油、维修、保险等必要成本后计入家庭总收入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，对于难以取得收入证明的按最低工资标准计算。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  <w:t>二</w:t>
      </w:r>
      <w:r>
        <w:rPr>
          <w:rFonts w:hint="default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  <w:t>、最低生活保障边缘家庭中</w:t>
      </w:r>
      <w:r>
        <w:rPr>
          <w:rFonts w:hint="eastAsia" w:ascii="Times New Roman" w:hAnsi="Times New Roman" w:eastAsia="黑体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  <w:t>单独纳保人员的保障标准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最低生活保障边缘家庭中单独纳入最低生活保障的成员，应按不低于城乡最低生活保障补差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发放保障金。</w:t>
      </w:r>
    </w:p>
    <w:p>
      <w:pPr>
        <w:pStyle w:val="2"/>
        <w:pageBreakBefore w:val="0"/>
        <w:numPr>
          <w:ilvl w:val="0"/>
          <w:numId w:val="0"/>
        </w:numPr>
        <w:tabs>
          <w:tab w:val="clear" w:pos="930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color="auto" w:fill="FFFFFF"/>
          <w:vertAlign w:val="baseline"/>
          <w:lang w:val="en-US" w:eastAsia="zh-CN" w:bidi="ar"/>
        </w:rPr>
        <w:t>三、其他事项</w:t>
      </w:r>
    </w:p>
    <w:p>
      <w:pPr>
        <w:pStyle w:val="2"/>
        <w:pageBreakBefore w:val="0"/>
        <w:numPr>
          <w:ilvl w:val="0"/>
          <w:numId w:val="0"/>
        </w:numPr>
        <w:tabs>
          <w:tab w:val="clear" w:pos="930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Chars="0"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GB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本通知自印发之日起作为《办法》配套文件正式施行，有效期5年。政策施行前已纳入救助的家庭或个人，在下一次复核中适用本通知。本通知由潮州市民政局负责解释。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潮州市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民政局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年1月  日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5605C"/>
    <w:multiLevelType w:val="multilevel"/>
    <w:tmpl w:val="16F5605C"/>
    <w:lvl w:ilvl="0" w:tentative="0">
      <w:start w:val="1"/>
      <w:numFmt w:val="ideographDigital"/>
      <w:pStyle w:val="2"/>
      <w:lvlText w:val="（%1）"/>
      <w:lvlJc w:val="left"/>
      <w:pPr>
        <w:tabs>
          <w:tab w:val="left" w:pos="930"/>
        </w:tabs>
        <w:ind w:left="156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147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89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231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73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315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357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99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5D6692"/>
    <w:rsid w:val="EF5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 w:val="0"/>
      <w:numPr>
        <w:ilvl w:val="0"/>
        <w:numId w:val="1"/>
      </w:numPr>
      <w:ind w:left="0" w:firstLine="0"/>
      <w:jc w:val="both"/>
      <w:outlineLvl w:val="1"/>
    </w:pPr>
    <w:rPr>
      <w:rFonts w:ascii="Arial" w:hAnsi="Arial" w:eastAsia="楷体_GB2312" w:cs="Times New Roman"/>
      <w:b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2026-01-05T16:50:00Z</dcterms:created>
  <dc:creator>user</dc:creator>
  <cp:lastModifiedBy>user</cp:lastModifiedBy>
  <dcterms:modified xsi:type="dcterms:W3CDTF">2026-01-05T16:51:10Z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