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附件2：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“广东兜底民生服务社会工作双百工程”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督导内容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一、行政性督导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指导“双百”社工明确工作职责，增强组织认同，积极面对组织管理中的挑战，有效利用组织服务资源，达成组织服务使命。主要包括但不限于以下内容:传达上级政策与监测、反馈政策执行情况，协助社工制定工作计划与分配任务，工作授权、协调与沟通，工作监督、总结和评估，协调专业关系、促进团队协作，化解矛盾冲突、开展危机管理:提供管理建议、促进组织完善，指导社工有效对接和整合各类服务资源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200" w:firstLine="320" w:firstLineChars="1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二、</w:t>
      </w:r>
      <w:r>
        <w:rPr>
          <w:rFonts w:hint="default" w:ascii="黑体" w:hAnsi="黑体" w:eastAsia="黑体" w:cs="黑体"/>
          <w:sz w:val="32"/>
          <w:szCs w:val="32"/>
          <w:lang w:val="en-US" w:eastAsia="zh-CN"/>
        </w:rPr>
        <w:t>教育性督导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提高“双百”社工的工作胜任力，及时发现服务知识和技巧的不足，增强专业反思和实务能力，确保有效服务。主要包括但不限于以下内容:强化专业价值，教导专业伦理和专业反思技巧，教导专业理论和实务知识，教导社会问题分析和社会政策知识，教导组织管理和项目管理知识，教导自我管理、团队协作和沟通等知识，识别并制止违反法律法规、专业价值、专业伦理和其他损害服务对象权益的行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200"/>
        <w:textAlignment w:val="auto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三、</w:t>
      </w:r>
      <w:r>
        <w:rPr>
          <w:rFonts w:hint="default" w:ascii="黑体" w:hAnsi="黑体" w:eastAsia="黑体" w:cs="黑体"/>
          <w:sz w:val="32"/>
          <w:szCs w:val="32"/>
          <w:lang w:val="en-US" w:eastAsia="zh-CN"/>
        </w:rPr>
        <w:t>支持性督导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通过提供压力疏导和情感支持，激发“双百”社工工作热情，营造安全和信任的工作氛围，提高督导对象的工作成就感、自我价值感和专业归属感。主要包括但不限于以下内容:协助“双百”社工适应和处理工作中的挫折、不满、失望、焦虑等各种情绪;协助“双百”社工探索专业成长道路，制定职业生涯规划，创造专业成长机会;协助“双百”社工发现工作成效和服务空间，激发工作动力;协助“双百”社工获得专业满足感和价值感，促进其对专业的认同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30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四、完成潮州市民政局交办的其他任务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altName w:val="方正仿宋_GBK"/>
    <w:panose1 w:val="02010609030101010101"/>
    <w:charset w:val="00"/>
    <w:family w:val="auto"/>
    <w:pitch w:val="default"/>
    <w:sig w:usb0="00000000" w:usb1="00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BFFF8B8B"/>
    <w:rsid w:val="BFFF8B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Office_11.8.2.10422_F1E327BC-269C-435d-A152-05C5408002CA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2026-02-26T16:24:00Z</dcterms:created>
  <dc:creator>user</dc:creator>
  <cp:lastModifiedBy>user</cp:lastModifiedBy>
  <dcterms:modified xsi:type="dcterms:W3CDTF">2026-02-26T16:24:50Z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2052-11.8.2.10422</vt:lpwstr>
  </property>
</Properties>
</file>