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143" w:line="320" w:lineRule="exact"/>
        <w:ind w:left="16" w:leftChars="0" w:hanging="16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0"/>
          <w:szCs w:val="30"/>
        </w:rPr>
        <w:t>加油站依法依规经营承诺书</w:t>
      </w:r>
    </w:p>
    <w:p>
      <w:pPr>
        <w:widowControl w:val="0"/>
        <w:wordWrap/>
        <w:adjustRightInd/>
        <w:snapToGrid/>
        <w:spacing w:before="97" w:line="32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-7"/>
          <w:sz w:val="24"/>
          <w:szCs w:val="24"/>
        </w:rPr>
        <w:t>公司名称：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           </w:t>
      </w:r>
    </w:p>
    <w:p>
      <w:pPr>
        <w:widowControl w:val="0"/>
        <w:wordWrap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</w:pPr>
      <w:r>
        <w:rPr>
          <w:rFonts w:hint="eastAsia" w:ascii="仿宋_GB2312" w:hAnsi="仿宋_GB2312" w:eastAsia="仿宋_GB2312" w:cs="仿宋_GB2312"/>
          <w:spacing w:val="-7"/>
          <w:sz w:val="24"/>
          <w:szCs w:val="24"/>
        </w:rPr>
        <w:t>统一社会信用代码：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 w:color="auto"/>
        </w:rPr>
        <w:t xml:space="preserve">   </w:t>
      </w:r>
    </w:p>
    <w:p>
      <w:pPr>
        <w:widowControl w:val="0"/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本公司知悉加油站经营相关法律法规和违法后果，将严格依法依规开展经营活动，并郑重作出以下承诺：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不偷逃成品油相关税费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严格遵守国家税收有关法律法规，依法如实申报缴纳相关税费。严格按照规定开具成品油发票，不隐瞒成品油销售收入，不虚开发票。按照有关规定使用、管理税控装置，不擅自改动、停用。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32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不采购来源不明的成品油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加强成品油采购渠道管理，不采购税费票据、运输单、质检报告等不全的成品油，不采购走私、盗窃或非法炼制、调和的成品油。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32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不销售不合格国家产品质量标准的成品油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严格遵守《中华人民共和国产品质量法》等法律法规，不掺杂掺假、以假充真、以次充好，不以不合格产品冒充合格产品，不销售国家明令淘汰并禁止销售的成品油。加强成品油质量抽检，不采购、销售不符合国家产品质量标准的成品油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32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不擅自改动加油机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严格遵守国家计量有关法律法规，按照《加油站计量监督管理办法》的规定使用加油机，加强对加油机的日常维护和管理，不擅自改动。主动接受法定计量检定机构的检定，不使用未经检定、检定不合格或超过检定周期的加油机，不克扣销售成品油数量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五、许可事项不超许可范围经营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对于需要取得许可的事项，严格按照《危险化学品经营许可证》的许可范围和《成品油零售经营批准证书》的批准业务开展经营活动，不超许可范围和批准业务经营。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六、健全成品油购销台账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建立成品油购、销、库存的出入库管理台账，每日如实完整记录每笔成品油采购和销售数量、单价、标号等情况，做好成品油采购来源、销售去向、检验报告、检查记录等凭证材料档案，不随意调整、涂改，并如实全面提供给相关监管部门，配合做好相关检查工作。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u w:val="none" w:color="auto"/>
          <w:lang w:val="en-US" w:eastAsia="zh-CN"/>
        </w:rPr>
        <w:t>加强安全管理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严格遵守安全生产、治安反恐防范相关法律法规和标准，切实落实主体责任，健全完善并严格落实安全生产管理制度，抓好加油站安全隐患排查整改，严格落实散装汽油购销实名登记有关要求，杜绝发生安全事故，严防发生重大案事件。</w:t>
      </w:r>
    </w:p>
    <w:p>
      <w:pPr>
        <w:widowControl w:val="0"/>
        <w:wordWrap/>
        <w:adjustRightInd/>
        <w:snapToGrid/>
        <w:spacing w:before="101" w:line="3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20"/>
          <w:sz w:val="24"/>
          <w:szCs w:val="24"/>
        </w:rPr>
        <w:t>本公司(个人)如有违反以上承诺内容，自愿接受有关部</w:t>
      </w:r>
      <w:r>
        <w:rPr>
          <w:rFonts w:hint="eastAsia" w:ascii="仿宋_GB2312" w:hAnsi="仿宋_GB2312" w:eastAsia="仿宋_GB2312" w:cs="仿宋_GB2312"/>
          <w:spacing w:val="1"/>
          <w:sz w:val="24"/>
          <w:szCs w:val="24"/>
        </w:rPr>
        <w:t>门依法作出的罚款、停业整顿、吊销营业执照等各类处理处罚，</w:t>
      </w:r>
      <w:r>
        <w:rPr>
          <w:rFonts w:hint="eastAsia" w:ascii="仿宋_GB2312" w:hAnsi="仿宋_GB2312" w:eastAsia="仿宋_GB2312" w:cs="仿宋_GB2312"/>
          <w:spacing w:val="15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</w:rPr>
        <w:t>承担相应的法律责任，并同意在信用中国网站公示本公司依法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</w:rPr>
        <w:t>依规经营情况。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320" w:firstLineChars="18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法定代表人：(签字)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320" w:lineRule="exact"/>
        <w:ind w:firstLine="4320" w:firstLineChars="18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 w:color="auto"/>
          <w:lang w:val="en-US" w:eastAsia="zh-CN"/>
        </w:rPr>
        <w:t>财务负责人：(签字)</w:t>
      </w:r>
    </w:p>
    <w:p>
      <w:pPr>
        <w:widowControl w:val="0"/>
        <w:wordWrap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widowControl w:val="0"/>
        <w:tabs>
          <w:tab w:val="left" w:pos="6719"/>
        </w:tabs>
        <w:wordWrap/>
        <w:adjustRightInd/>
        <w:snapToGrid/>
        <w:spacing w:before="101" w:line="320" w:lineRule="exact"/>
        <w:ind w:firstLine="4394" w:firstLineChars="1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49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pacing w:val="49"/>
          <w:sz w:val="24"/>
          <w:szCs w:val="24"/>
        </w:rPr>
        <w:t>公司(公章)</w:t>
      </w:r>
    </w:p>
    <w:p>
      <w:pPr>
        <w:widowControl w:val="0"/>
        <w:wordWrap/>
        <w:adjustRightInd/>
        <w:snapToGrid/>
        <w:spacing w:before="1" w:line="320" w:lineRule="exact"/>
        <w:ind w:firstLine="4896" w:firstLineChars="18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6"/>
          <w:sz w:val="24"/>
          <w:szCs w:val="24"/>
        </w:rPr>
        <w:t>202</w:t>
      </w:r>
      <w:r>
        <w:rPr>
          <w:rFonts w:hint="eastAsia" w:ascii="仿宋_GB2312" w:hAnsi="仿宋_GB2312" w:eastAsia="仿宋_GB2312" w:cs="仿宋_GB2312"/>
          <w:spacing w:val="16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16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pacing w:val="14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16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pacing w:val="49"/>
          <w:sz w:val="24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spacing w:val="16"/>
          <w:sz w:val="24"/>
          <w:szCs w:val="24"/>
        </w:rPr>
        <w:t>日</w:t>
      </w:r>
    </w:p>
    <w:sectPr>
      <w:pgSz w:w="11906" w:h="16838"/>
      <w:pgMar w:top="1814" w:right="1247" w:bottom="124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A"/>
    <w:multiLevelType w:val="singleLevel"/>
    <w:tmpl w:val="0000000A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YyZDFkODM2OGZhMzhhMTJlYTRmOGQ5OGJmYmE2MWYifQ=="/>
  </w:docVars>
  <w:rsids>
    <w:rsidRoot w:val="00000000"/>
    <w:rsid w:val="67D05E1E"/>
    <w:rsid w:val="6E3919C5"/>
    <w:rsid w:val="76F0D3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wan-rich-text-enhanced_swan-rich-text-enhanced-text-user-select-disable"/>
    <w:basedOn w:val="1"/>
    <w:qFormat/>
    <w:uiPriority w:val="0"/>
  </w:style>
  <w:style w:type="character" w:customStyle="1" w:styleId="5">
    <w:name w:val="swan-rich-text-enhanced_swan-rich-text-enhanced-text-user-select-disable Charact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919</Words>
  <Characters>922</Characters>
  <Lines>0</Lines>
  <Paragraphs>0</Paragraphs>
  <TotalTime>0</TotalTime>
  <ScaleCrop>false</ScaleCrop>
  <LinksUpToDate>false</LinksUpToDate>
  <CharactersWithSpaces>998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2023-02-01T03:25:00Z</dcterms:created>
  <dc:creator>張晴</dc:creator>
  <cp:lastModifiedBy>administrator</cp:lastModifiedBy>
  <cp:lastPrinted>2023-02-28T01:13:00Z</cp:lastPrinted>
  <dcterms:modified xsi:type="dcterms:W3CDTF">2026-03-10T17:00:04Z</dcterms:modified>
  <dc:title>nyj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68EBF4526C5C466897A7A4D9AAB3D06E</vt:lpwstr>
  </property>
</Properties>
</file>