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Bdr>
          <w:right w:val="none" w:color="000000" w:sz="0" w:space="1"/>
        </w:pBdr>
        <w:spacing w:line="760" w:lineRule="exact"/>
        <w:jc w:val="center"/>
        <w:rPr>
          <w:rFonts w:hint="eastAsia" w:ascii="方正小标宋简体" w:hAnsi="方正小标宋简体" w:eastAsia="方正小标宋简体"/>
          <w:color w:val="000000"/>
          <w:sz w:val="44"/>
          <w:szCs w:val="44"/>
          <w:lang w:eastAsia="zh-CN"/>
        </w:rPr>
      </w:pPr>
      <w:r>
        <w:rPr>
          <w:rFonts w:ascii="方正小标宋简体" w:hAnsi="方正小标宋简体" w:eastAsia="方正小标宋简体"/>
          <w:color w:val="000000"/>
          <w:sz w:val="44"/>
          <w:szCs w:val="44"/>
        </w:rPr>
        <w:t>潮州市工业企业用地“敞开申报”工作机制</w:t>
      </w:r>
      <w:r>
        <w:rPr>
          <w:rFonts w:hint="eastAsia" w:ascii="方正小标宋简体" w:hAnsi="方正小标宋简体" w:eastAsia="方正小标宋简体"/>
          <w:color w:val="000000"/>
          <w:sz w:val="44"/>
          <w:szCs w:val="44"/>
          <w:lang w:eastAsia="zh-CN"/>
        </w:rPr>
        <w:t>（第二次征求意见稿）</w:t>
      </w:r>
      <w:bookmarkStart w:id="0" w:name="_GoBack"/>
      <w:bookmarkEnd w:id="0"/>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为着力解决我市骨干工业企业用地难问题，树立企业合法用地正确导向，把优质资源配置到“有数有税”企业，进一步优化营商环境，增强企业发展信心，激发企业投资热情，推动潮州经济高质量发展，根据市政府工作部署，现结合我市实际，</w:t>
      </w:r>
      <w:r>
        <w:rPr>
          <w:rFonts w:hint="eastAsia" w:ascii="仿宋_GB2312" w:hAnsi="仿宋_GB2312" w:eastAsia="仿宋_GB2312"/>
          <w:color w:val="000000"/>
          <w:sz w:val="32"/>
          <w:szCs w:val="32"/>
        </w:rPr>
        <w:t>按照“申报</w:t>
      </w:r>
      <w:r>
        <w:rPr>
          <w:rFonts w:ascii="仿宋_GB2312" w:hAnsi="仿宋_GB2312" w:eastAsia="仿宋_GB2312"/>
          <w:color w:val="000000"/>
          <w:sz w:val="32"/>
          <w:szCs w:val="32"/>
        </w:rPr>
        <w:t>即筹建、拿地即开工、完工即投产</w:t>
      </w:r>
      <w:r>
        <w:rPr>
          <w:rFonts w:hint="eastAsia" w:ascii="仿宋_GB2312" w:hAnsi="仿宋_GB2312" w:eastAsia="仿宋_GB2312"/>
          <w:color w:val="000000"/>
          <w:sz w:val="32"/>
          <w:szCs w:val="32"/>
        </w:rPr>
        <w:t>”原则，制定工业企业用地申报工作机制</w:t>
      </w:r>
      <w:r>
        <w:rPr>
          <w:rFonts w:ascii="仿宋_GB2312" w:hAnsi="仿宋_GB2312" w:eastAsia="仿宋_GB2312"/>
          <w:color w:val="000000"/>
          <w:sz w:val="32"/>
          <w:szCs w:val="32"/>
        </w:rPr>
        <w:t>。</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color w:val="000000"/>
          <w:sz w:val="32"/>
          <w:szCs w:val="32"/>
        </w:rPr>
      </w:pPr>
      <w:r>
        <w:rPr>
          <w:rFonts w:ascii="黑体" w:hAnsi="黑体" w:eastAsia="黑体"/>
          <w:color w:val="000000"/>
          <w:sz w:val="32"/>
          <w:szCs w:val="32"/>
        </w:rPr>
        <w:t>一、申报条件</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（一）申报单位必须是</w:t>
      </w:r>
      <w:r>
        <w:rPr>
          <w:rFonts w:hint="eastAsia" w:ascii="仿宋_GB2312" w:hAnsi="仿宋_GB2312" w:eastAsia="仿宋_GB2312"/>
          <w:color w:val="000000"/>
          <w:sz w:val="32"/>
          <w:szCs w:val="32"/>
        </w:rPr>
        <w:t>依法设立</w:t>
      </w:r>
      <w:r>
        <w:rPr>
          <w:rFonts w:ascii="仿宋_GB2312" w:hAnsi="仿宋_GB2312" w:eastAsia="仿宋_GB2312"/>
          <w:color w:val="000000"/>
          <w:sz w:val="32"/>
          <w:szCs w:val="32"/>
        </w:rPr>
        <w:t>注册登记、依法纳税的工业企业。</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（二）</w:t>
      </w:r>
      <w:r>
        <w:rPr>
          <w:rFonts w:hint="eastAsia" w:ascii="仿宋_GB2312" w:hAnsi="仿宋_GB2312" w:eastAsia="仿宋_GB2312"/>
          <w:color w:val="000000"/>
          <w:sz w:val="32"/>
          <w:szCs w:val="32"/>
        </w:rPr>
        <w:t>企业具有实际用地需求的，且满足以下条件之一：</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1.上一年度经济规模达到3000万元以上；</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2.上一年度经济贡献达到100万元以上；</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3.有效期内的我市“优大强”企业、省级专精特新企业。</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color w:val="000000"/>
          <w:sz w:val="32"/>
          <w:szCs w:val="32"/>
        </w:rPr>
      </w:pPr>
      <w:r>
        <w:rPr>
          <w:rFonts w:ascii="黑体" w:hAnsi="黑体" w:eastAsia="黑体"/>
          <w:color w:val="000000"/>
          <w:sz w:val="32"/>
          <w:szCs w:val="32"/>
        </w:rPr>
        <w:t>二、申报类型</w:t>
      </w:r>
      <w:r>
        <w:rPr>
          <w:rFonts w:hint="eastAsia" w:ascii="黑体" w:hAnsi="黑体" w:eastAsia="黑体"/>
          <w:color w:val="000000"/>
          <w:sz w:val="32"/>
          <w:szCs w:val="32"/>
        </w:rPr>
        <w:t>及条件</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（一）企业申请产业园区用地或在园区外通过招拍挂取得土地使用权的，应承诺取得土地使用权后按照属地产业主管部门提出的产业准入条件、投资强度、亩均</w:t>
      </w:r>
      <w:r>
        <w:rPr>
          <w:rFonts w:hint="eastAsia" w:ascii="仿宋_GB2312" w:hAnsi="仿宋_GB2312" w:eastAsia="仿宋_GB2312"/>
          <w:color w:val="000000"/>
          <w:sz w:val="32"/>
          <w:szCs w:val="32"/>
        </w:rPr>
        <w:t>贡献</w:t>
      </w:r>
      <w:r>
        <w:rPr>
          <w:rFonts w:ascii="仿宋_GB2312" w:hAnsi="仿宋_GB2312" w:eastAsia="仿宋_GB2312"/>
          <w:color w:val="000000"/>
          <w:sz w:val="32"/>
          <w:szCs w:val="32"/>
        </w:rPr>
        <w:t>等要求执行。</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（二）企业申请通过“三旧”改造</w:t>
      </w:r>
      <w:r>
        <w:rPr>
          <w:rFonts w:hint="eastAsia" w:ascii="仿宋_GB2312" w:hAnsi="仿宋_GB2312" w:eastAsia="仿宋_GB2312"/>
          <w:color w:val="000000"/>
          <w:sz w:val="32"/>
          <w:szCs w:val="32"/>
        </w:rPr>
        <w:t>、低效用地再开发</w:t>
      </w:r>
      <w:r>
        <w:rPr>
          <w:rFonts w:ascii="仿宋_GB2312" w:hAnsi="仿宋_GB2312" w:eastAsia="仿宋_GB2312"/>
          <w:color w:val="000000"/>
          <w:sz w:val="32"/>
          <w:szCs w:val="32"/>
        </w:rPr>
        <w:t>政策完善用地手续的，</w:t>
      </w:r>
      <w:r>
        <w:rPr>
          <w:rFonts w:hint="eastAsia" w:ascii="仿宋_GB2312" w:hAnsi="仿宋_GB2312" w:eastAsia="仿宋_GB2312"/>
          <w:color w:val="000000"/>
          <w:sz w:val="32"/>
          <w:szCs w:val="32"/>
        </w:rPr>
        <w:t>企业需承诺项目改造后引入产业亩均贡献达到</w:t>
      </w:r>
      <w:r>
        <w:rPr>
          <w:rFonts w:hint="eastAsia" w:ascii="仿宋_GB2312" w:hAnsi="仿宋_GB2312" w:eastAsia="仿宋_GB2312"/>
          <w:color w:val="000000"/>
          <w:sz w:val="32"/>
          <w:szCs w:val="32"/>
          <w:lang w:eastAsia="zh-CN"/>
        </w:rPr>
        <w:t>现行</w:t>
      </w:r>
      <w:r>
        <w:rPr>
          <w:rFonts w:hint="eastAsia" w:ascii="仿宋_GB2312" w:hAnsi="仿宋_GB2312" w:eastAsia="仿宋_GB2312"/>
          <w:color w:val="000000"/>
          <w:sz w:val="32"/>
          <w:szCs w:val="32"/>
        </w:rPr>
        <w:t>新供工业用地“标准地”控制指标</w:t>
      </w:r>
      <w:r>
        <w:rPr>
          <w:rFonts w:hint="eastAsia" w:ascii="仿宋_GB2312" w:hAnsi="仿宋_GB2312" w:eastAsia="仿宋_GB2312"/>
          <w:color w:val="000000"/>
          <w:sz w:val="32"/>
          <w:szCs w:val="32"/>
          <w:lang w:eastAsia="zh-CN"/>
        </w:rPr>
        <w:t>中的标准</w:t>
      </w:r>
      <w:r>
        <w:rPr>
          <w:rFonts w:hint="eastAsia" w:ascii="仿宋_GB2312" w:hAnsi="仿宋_GB2312" w:eastAsia="仿宋_GB2312"/>
          <w:color w:val="000000"/>
          <w:sz w:val="32"/>
          <w:szCs w:val="32"/>
        </w:rPr>
        <w:t>。</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（三）企业申请完善现有集体建设用地或新增集体建设用地手续的，</w:t>
      </w:r>
      <w:r>
        <w:rPr>
          <w:rFonts w:hint="eastAsia" w:ascii="仿宋_GB2312" w:hAnsi="仿宋_GB2312" w:eastAsia="仿宋_GB2312" w:cs="仿宋_GB2312"/>
          <w:sz w:val="32"/>
          <w:szCs w:val="32"/>
        </w:rPr>
        <w:t>申报地块须避开全域土地综合整治农用地整理范围，应与现状或规划建设用地相邻成片，确保项目选址与整治规划无冲突。除企业原生产用地与相邻新增地块可合并规划建设情形外，原则上不支持零星工业用地申报。对位于城市核心区域和重要发展区内的企业用地，原则上不支持</w:t>
      </w:r>
      <w:r>
        <w:rPr>
          <w:rFonts w:hint="eastAsia" w:ascii="仿宋_GB2312" w:hAnsi="仿宋_GB2312" w:eastAsia="仿宋_GB2312"/>
          <w:color w:val="000000"/>
          <w:sz w:val="32"/>
          <w:szCs w:val="32"/>
        </w:rPr>
        <w:t>完善现有集体建设用地或新增集体建设用地手续</w:t>
      </w:r>
      <w:r>
        <w:rPr>
          <w:rFonts w:hint="eastAsia" w:ascii="仿宋_GB2312" w:hAnsi="仿宋_GB2312" w:eastAsia="仿宋_GB2312" w:cs="仿宋_GB2312"/>
          <w:sz w:val="32"/>
          <w:szCs w:val="32"/>
        </w:rPr>
        <w:t>。</w:t>
      </w:r>
      <w:r>
        <w:rPr>
          <w:rFonts w:hint="eastAsia" w:ascii="仿宋_GB2312" w:hAnsi="仿宋_GB2312" w:eastAsia="仿宋_GB2312"/>
          <w:color w:val="000000"/>
          <w:sz w:val="32"/>
          <w:szCs w:val="32"/>
        </w:rPr>
        <w:t>企业需依照详细规划控制指标进行建设，落实风貌管控相关要求，承诺项目新建或改造后引入产业亩均贡献达到</w:t>
      </w:r>
      <w:r>
        <w:rPr>
          <w:rFonts w:hint="eastAsia" w:ascii="仿宋_GB2312" w:hAnsi="仿宋_GB2312" w:eastAsia="仿宋_GB2312"/>
          <w:color w:val="000000"/>
          <w:sz w:val="32"/>
          <w:szCs w:val="32"/>
          <w:lang w:eastAsia="zh-CN"/>
        </w:rPr>
        <w:t>现行</w:t>
      </w:r>
      <w:r>
        <w:rPr>
          <w:rFonts w:hint="eastAsia" w:ascii="仿宋_GB2312" w:hAnsi="仿宋_GB2312" w:eastAsia="仿宋_GB2312"/>
          <w:color w:val="000000"/>
          <w:sz w:val="32"/>
          <w:szCs w:val="32"/>
        </w:rPr>
        <w:t>新供工业用地“标准地”控制指标</w:t>
      </w:r>
      <w:r>
        <w:rPr>
          <w:rFonts w:hint="eastAsia" w:ascii="仿宋_GB2312" w:hAnsi="仿宋_GB2312" w:eastAsia="仿宋_GB2312"/>
          <w:color w:val="000000"/>
          <w:sz w:val="32"/>
          <w:szCs w:val="32"/>
          <w:lang w:eastAsia="zh-CN"/>
        </w:rPr>
        <w:t>中的标准</w:t>
      </w:r>
      <w:r>
        <w:rPr>
          <w:rFonts w:hint="eastAsia" w:ascii="仿宋_GB2312" w:hAnsi="仿宋_GB2312" w:eastAsia="仿宋_GB2312"/>
          <w:color w:val="000000"/>
          <w:sz w:val="32"/>
          <w:szCs w:val="32"/>
        </w:rPr>
        <w:t>。</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color w:val="000000"/>
          <w:sz w:val="32"/>
          <w:szCs w:val="32"/>
        </w:rPr>
      </w:pPr>
      <w:r>
        <w:rPr>
          <w:rFonts w:ascii="黑体" w:hAnsi="黑体" w:eastAsia="黑体"/>
          <w:color w:val="000000"/>
          <w:sz w:val="32"/>
          <w:szCs w:val="32"/>
        </w:rPr>
        <w:t>三、申报资料</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（一）</w:t>
      </w:r>
      <w:r>
        <w:rPr>
          <w:rFonts w:ascii="仿宋_GB2312" w:hAnsi="仿宋_GB2312" w:eastAsia="仿宋_GB2312"/>
          <w:color w:val="000000"/>
          <w:sz w:val="32"/>
          <w:szCs w:val="32"/>
        </w:rPr>
        <w:t>潮州市工业企业用地需求申请表</w:t>
      </w:r>
      <w:r>
        <w:rPr>
          <w:rFonts w:hint="eastAsia" w:ascii="仿宋_GB2312" w:hAnsi="仿宋_GB2312" w:eastAsia="仿宋_GB2312"/>
          <w:color w:val="000000"/>
          <w:sz w:val="32"/>
          <w:szCs w:val="32"/>
        </w:rPr>
        <w:t>。</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（二）企业上一年度的经济规模、上一年度的经济贡献证明材料。</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（三）新增（或改造）投资项目备案（或核准）文件。</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（四）申报类型（二）的企业需提供用地红线图（含矢量电子数据）及现场照片。</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（五）其他需补充说明的情况（如拟按“一企一策”受理的依据）。</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color w:val="000000"/>
          <w:sz w:val="32"/>
          <w:szCs w:val="32"/>
        </w:rPr>
      </w:pPr>
      <w:r>
        <w:rPr>
          <w:rFonts w:ascii="黑体" w:hAnsi="黑体" w:eastAsia="黑体"/>
          <w:bCs/>
          <w:color w:val="000000"/>
          <w:sz w:val="32"/>
          <w:szCs w:val="32"/>
        </w:rPr>
        <w:t>四、</w:t>
      </w:r>
      <w:r>
        <w:rPr>
          <w:rFonts w:ascii="黑体" w:hAnsi="黑体" w:eastAsia="黑体"/>
          <w:color w:val="000000"/>
          <w:sz w:val="32"/>
          <w:szCs w:val="32"/>
        </w:rPr>
        <w:t>部门职责</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bCs/>
          <w:color w:val="000000"/>
          <w:sz w:val="32"/>
          <w:szCs w:val="32"/>
        </w:rPr>
        <w:t>市政府建立联席会议制度</w:t>
      </w:r>
      <w:r>
        <w:rPr>
          <w:rFonts w:hint="eastAsia" w:ascii="仿宋_GB2312" w:hAnsi="仿宋_GB2312" w:eastAsia="仿宋_GB2312"/>
          <w:bCs/>
          <w:color w:val="000000"/>
          <w:sz w:val="32"/>
          <w:szCs w:val="32"/>
        </w:rPr>
        <w:t>，</w:t>
      </w:r>
      <w:r>
        <w:rPr>
          <w:rFonts w:ascii="仿宋_GB2312" w:hAnsi="仿宋_GB2312" w:eastAsia="仿宋_GB2312"/>
          <w:color w:val="000000"/>
          <w:sz w:val="32"/>
          <w:szCs w:val="32"/>
        </w:rPr>
        <w:t>联席会议由市长或受市长委托的其他</w:t>
      </w:r>
      <w:r>
        <w:rPr>
          <w:rFonts w:hint="eastAsia" w:ascii="仿宋_GB2312" w:hAnsi="仿宋_GB2312" w:eastAsia="仿宋_GB2312"/>
          <w:color w:val="000000"/>
          <w:sz w:val="32"/>
          <w:szCs w:val="32"/>
          <w:lang w:eastAsia="zh-CN"/>
        </w:rPr>
        <w:t>市</w:t>
      </w:r>
      <w:r>
        <w:rPr>
          <w:rFonts w:ascii="仿宋_GB2312" w:hAnsi="仿宋_GB2312" w:eastAsia="仿宋_GB2312"/>
          <w:color w:val="000000"/>
          <w:sz w:val="32"/>
          <w:szCs w:val="32"/>
        </w:rPr>
        <w:t>领导召集召开</w:t>
      </w:r>
      <w:r>
        <w:rPr>
          <w:rFonts w:hint="eastAsia" w:ascii="仿宋_GB2312" w:hAnsi="仿宋_GB2312" w:eastAsia="仿宋_GB2312"/>
          <w:color w:val="000000"/>
          <w:sz w:val="32"/>
          <w:szCs w:val="32"/>
        </w:rPr>
        <w:t>，研究讨论联席会议议题和需提交联席会议议定或讨论事项</w:t>
      </w:r>
      <w:r>
        <w:rPr>
          <w:rFonts w:ascii="仿宋_GB2312" w:hAnsi="仿宋_GB2312" w:eastAsia="仿宋_GB2312"/>
          <w:color w:val="000000"/>
          <w:sz w:val="32"/>
          <w:szCs w:val="32"/>
        </w:rPr>
        <w:t>。联席会议办公室设在市工信局，承担联席会议日常工作。</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一）县区工信部门负责牵头自然资源、企业所在镇（街）、产业园区管理机构等相关职能部门对申报企业提交的资料（包括生产经营情况、资格条件、用地需求数量、项目备案或核准信息、项目开工及投产承诺等）进行核实、筛选，出具核实意见。</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（二）县区自然资源部门负责根据工信等部门提供的用地需求材料，提出企业用地需求解决方案及供地计划报县区人民政府研究确定，并落实供地工作。</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三）凤泉湖高新区工信部门负责收集汇总企业用地需求，牵头相关职能部门对申报企业的生产经营情况、申报资料、资格条件、用地需求数量等进行核实、筛选；自然资源部门根据工信部门提供的用地需求材料，会同规划建设部门提出企业用地需求解决方案及供地计划</w:t>
      </w:r>
      <w:r>
        <w:rPr>
          <w:rFonts w:hint="eastAsia" w:ascii="仿宋_GB2312" w:hAnsi="仿宋_GB2312" w:eastAsia="仿宋_GB2312"/>
          <w:color w:val="000000"/>
          <w:sz w:val="32"/>
          <w:szCs w:val="32"/>
        </w:rPr>
        <w:t>报凤泉湖高新区管委会研究确定</w:t>
      </w:r>
      <w:r>
        <w:rPr>
          <w:rFonts w:ascii="仿宋_GB2312" w:hAnsi="仿宋_GB2312" w:eastAsia="仿宋_GB2312"/>
          <w:color w:val="000000"/>
          <w:sz w:val="32"/>
          <w:szCs w:val="32"/>
        </w:rPr>
        <w:t>，并落实供地工作。</w:t>
      </w:r>
    </w:p>
    <w:p>
      <w:pPr>
        <w:pStyle w:val="7"/>
        <w:keepNext w:val="0"/>
        <w:keepLines w:val="0"/>
        <w:pageBreakBefore w:val="0"/>
        <w:pBdr>
          <w:right w:val="none" w:color="000000" w:sz="0" w:space="1"/>
        </w:pBdr>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（四）</w:t>
      </w:r>
      <w:r>
        <w:rPr>
          <w:rFonts w:hint="eastAsia" w:ascii="仿宋_GB2312" w:hAnsi="仿宋_GB2312" w:eastAsia="仿宋_GB2312"/>
          <w:color w:val="000000"/>
          <w:sz w:val="32"/>
          <w:szCs w:val="32"/>
        </w:rPr>
        <w:t>各县区人民政府、凤泉湖高新区管委会负责对县区工信、自然资源等部门上报的企业用地需求解决方案和供地计划进行研究确认，出具审核意见并推动落实</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负责对供地后企业的用地开工建设、投产情况，以及项目投产后的新增经济规模和贡献承诺进行监管；负责对辖区内违反项目监管协议约定的项目追究违约责任</w:t>
      </w:r>
      <w:r>
        <w:rPr>
          <w:rFonts w:ascii="仿宋_GB2312" w:hAnsi="仿宋_GB2312" w:eastAsia="仿宋_GB2312"/>
          <w:color w:val="000000"/>
          <w:sz w:val="32"/>
          <w:szCs w:val="32"/>
        </w:rPr>
        <w:t>。</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应组织成立“敞开申报”工作专班，按照“申报</w:t>
      </w:r>
      <w:r>
        <w:rPr>
          <w:rFonts w:ascii="仿宋_GB2312" w:hAnsi="仿宋_GB2312" w:eastAsia="仿宋_GB2312"/>
          <w:color w:val="000000"/>
          <w:sz w:val="32"/>
          <w:szCs w:val="32"/>
        </w:rPr>
        <w:t>即筹建、拿地即开工、完工即投产</w:t>
      </w:r>
      <w:r>
        <w:rPr>
          <w:rFonts w:hint="eastAsia" w:ascii="仿宋_GB2312" w:hAnsi="仿宋_GB2312" w:eastAsia="仿宋_GB2312"/>
          <w:color w:val="000000"/>
          <w:sz w:val="32"/>
          <w:szCs w:val="32"/>
        </w:rPr>
        <w:t>”原则，实行“周调度、月督导”工作机制，统筹推进用地申报审核、项目报批报建、存在问题协调，确保符合条件的企业及时获得用地支持，推动项目早落地、早投产、早见效。</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（五）</w:t>
      </w:r>
      <w:r>
        <w:rPr>
          <w:rFonts w:hint="eastAsia" w:ascii="仿宋_GB2312" w:hAnsi="仿宋_GB2312" w:eastAsia="仿宋_GB2312"/>
          <w:color w:val="000000"/>
          <w:sz w:val="32"/>
          <w:szCs w:val="32"/>
        </w:rPr>
        <w:t>市工信部门负责对各县区人民政府、凤泉湖高新区管委会上报的企业生产经营情况、申报资料、资格条件和用地需求进行收集、梳理和分析研判</w:t>
      </w:r>
      <w:r>
        <w:rPr>
          <w:rFonts w:ascii="仿宋_GB2312" w:hAnsi="仿宋_GB2312" w:eastAsia="仿宋_GB2312"/>
          <w:color w:val="000000"/>
          <w:sz w:val="32"/>
          <w:szCs w:val="32"/>
        </w:rPr>
        <w:t>。</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sz w:val="32"/>
          <w:szCs w:val="32"/>
        </w:rPr>
      </w:pPr>
      <w:r>
        <w:rPr>
          <w:rFonts w:ascii="仿宋_GB2312" w:hAnsi="仿宋_GB2312" w:eastAsia="仿宋_GB2312"/>
          <w:color w:val="000000"/>
          <w:sz w:val="32"/>
          <w:szCs w:val="32"/>
        </w:rPr>
        <w:t>（六）</w:t>
      </w:r>
      <w:r>
        <w:rPr>
          <w:rFonts w:hint="eastAsia" w:ascii="仿宋_GB2312" w:hAnsi="仿宋_GB2312" w:eastAsia="仿宋_GB2312"/>
          <w:color w:val="000000"/>
          <w:sz w:val="32"/>
          <w:szCs w:val="32"/>
        </w:rPr>
        <w:t>市自然资源部门负责对各县区人民政府、凤泉湖高新区管委会制订和实施的企业用地需求解决方案和供地计划进行指导和复核；负责协调解决“规划调整”“土地规模”“用地指标”“用地报批”“土地供应”等问题。</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（七）市政数部门负责提供潮州市“一网通办”平台</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市统一申办受理平台+市工程建设项目审批管理系统</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作为工业用地“敞开申报”事项的受理审批系统，整合企业申报、部门审核、进度跟踪、结果反馈等全流程功能，支撑工业用地项目“申报即筹建、拿地即开工、完工即投产”全生命周期数字化管理，提升审批服务效能和监管协同水平。同时，负责系统的日常维护、升级迭代及操作培训，保障系统稳定运行，提升“敞开申报”工作的信息化、规范化水平。</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color w:val="000000"/>
          <w:sz w:val="32"/>
          <w:szCs w:val="32"/>
        </w:rPr>
      </w:pPr>
      <w:r>
        <w:rPr>
          <w:rFonts w:ascii="黑体" w:hAnsi="黑体" w:eastAsia="黑体"/>
          <w:color w:val="000000"/>
          <w:sz w:val="32"/>
          <w:szCs w:val="32"/>
        </w:rPr>
        <w:t>五、申报程序</w:t>
      </w:r>
    </w:p>
    <w:p>
      <w:pPr>
        <w:keepNext w:val="0"/>
        <w:keepLines w:val="0"/>
        <w:pageBreakBefore w:val="0"/>
        <w:kinsoku/>
        <w:wordWrap/>
        <w:overflowPunct/>
        <w:topLinePunct w:val="0"/>
        <w:autoSpaceDE/>
        <w:autoSpaceDN/>
        <w:bidi w:val="0"/>
        <w:adjustRightInd w:val="0"/>
        <w:snapToGrid w:val="0"/>
        <w:spacing w:line="570" w:lineRule="exact"/>
        <w:ind w:left="0" w:leftChars="0" w:firstLine="640" w:firstLineChars="200"/>
        <w:textAlignment w:val="auto"/>
        <w:rPr>
          <w:rFonts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SA"/>
        </w:rPr>
        <w:t>（一）用地需求收集。</w:t>
      </w:r>
      <w:r>
        <w:rPr>
          <w:rFonts w:hint="eastAsia" w:ascii="仿宋_GB2312" w:hAnsi="仿宋_GB2312" w:eastAsia="仿宋_GB2312" w:cs="仿宋_GB2312"/>
          <w:sz w:val="32"/>
          <w:szCs w:val="32"/>
        </w:rPr>
        <w:t>企业通过县（区）政务服务中心或者“敞开申报”系统按照申报类型提交申报资料，由对应县区、凤泉</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高新区工信部门负责收集汇总及组织审查。  </w:t>
      </w:r>
    </w:p>
    <w:p>
      <w:pPr>
        <w:keepNext w:val="0"/>
        <w:keepLines w:val="0"/>
        <w:pageBreakBefore w:val="0"/>
        <w:kinsoku/>
        <w:wordWrap/>
        <w:overflowPunct/>
        <w:topLinePunct w:val="0"/>
        <w:autoSpaceDE/>
        <w:autoSpaceDN/>
        <w:bidi w:val="0"/>
        <w:adjustRightInd w:val="0"/>
        <w:snapToGrid w:val="0"/>
        <w:spacing w:line="570" w:lineRule="exact"/>
        <w:ind w:left="0" w:leftChars="0" w:firstLine="640" w:firstLineChars="200"/>
        <w:textAlignment w:val="auto"/>
        <w:rPr>
          <w:rFonts w:ascii="仿宋_GB2312" w:hAnsi="仿宋_GB2312" w:eastAsia="仿宋_GB2312"/>
          <w:color w:val="000000"/>
          <w:sz w:val="32"/>
          <w:szCs w:val="32"/>
        </w:rPr>
      </w:pPr>
      <w:r>
        <w:rPr>
          <w:rFonts w:hint="eastAsia" w:ascii="楷体_GB2312" w:hAnsi="楷体_GB2312" w:eastAsia="楷体_GB2312" w:cs="楷体_GB2312"/>
          <w:color w:val="000000"/>
          <w:kern w:val="0"/>
          <w:sz w:val="32"/>
          <w:szCs w:val="32"/>
          <w:lang w:val="en-US" w:eastAsia="zh-CN" w:bidi="ar-SA"/>
        </w:rPr>
        <w:t>（二）项目信息核查。</w:t>
      </w:r>
      <w:r>
        <w:rPr>
          <w:rFonts w:ascii="仿宋_GB2312" w:hAnsi="仿宋_GB2312" w:eastAsia="仿宋_GB2312"/>
          <w:color w:val="000000"/>
          <w:sz w:val="32"/>
          <w:szCs w:val="32"/>
        </w:rPr>
        <w:t>各县区、凤泉湖高新区工</w:t>
      </w:r>
      <w:r>
        <w:rPr>
          <w:rFonts w:hint="eastAsia" w:ascii="仿宋_GB2312" w:hAnsi="仿宋_GB2312" w:eastAsia="仿宋_GB2312"/>
          <w:color w:val="000000"/>
          <w:sz w:val="32"/>
          <w:szCs w:val="32"/>
        </w:rPr>
        <w:t>信部门需牵头</w:t>
      </w:r>
      <w:r>
        <w:rPr>
          <w:rFonts w:ascii="仿宋_GB2312" w:hAnsi="仿宋_GB2312" w:eastAsia="仿宋_GB2312"/>
          <w:color w:val="000000"/>
          <w:sz w:val="32"/>
          <w:szCs w:val="32"/>
        </w:rPr>
        <w:t>自然资</w:t>
      </w:r>
      <w:r>
        <w:rPr>
          <w:rFonts w:hint="eastAsia" w:ascii="仿宋_GB2312" w:hAnsi="仿宋_GB2312" w:eastAsia="仿宋_GB2312"/>
          <w:color w:val="000000"/>
          <w:sz w:val="32"/>
          <w:szCs w:val="32"/>
        </w:rPr>
        <w:t>源部门</w:t>
      </w:r>
      <w:r>
        <w:rPr>
          <w:rFonts w:ascii="仿宋_GB2312" w:hAnsi="仿宋_GB2312" w:eastAsia="仿宋_GB2312"/>
          <w:color w:val="000000"/>
          <w:sz w:val="32"/>
          <w:szCs w:val="32"/>
        </w:rPr>
        <w:t>、企业所在镇（</w:t>
      </w:r>
      <w:r>
        <w:rPr>
          <w:rFonts w:hint="eastAsia" w:ascii="仿宋_GB2312" w:hAnsi="仿宋_GB2312" w:eastAsia="仿宋_GB2312"/>
          <w:color w:val="000000"/>
          <w:sz w:val="32"/>
          <w:szCs w:val="32"/>
          <w:lang w:eastAsia="zh-CN"/>
        </w:rPr>
        <w:t>街道</w:t>
      </w:r>
      <w:r>
        <w:rPr>
          <w:rFonts w:ascii="仿宋_GB2312" w:hAnsi="仿宋_GB2312" w:eastAsia="仿宋_GB2312"/>
          <w:color w:val="000000"/>
          <w:sz w:val="32"/>
          <w:szCs w:val="32"/>
        </w:rPr>
        <w:t>）</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在</w:t>
      </w:r>
      <w:r>
        <w:rPr>
          <w:rFonts w:hint="eastAsia" w:ascii="仿宋_GB2312" w:hAnsi="仿宋_GB2312" w:eastAsia="仿宋_GB2312" w:cs="仿宋_GB2312"/>
          <w:sz w:val="32"/>
          <w:szCs w:val="32"/>
        </w:rPr>
        <w:t>10个工作日内</w:t>
      </w:r>
      <w:r>
        <w:rPr>
          <w:rFonts w:ascii="仿宋_GB2312" w:hAnsi="仿宋_GB2312" w:eastAsia="仿宋_GB2312"/>
          <w:color w:val="000000"/>
          <w:sz w:val="32"/>
          <w:szCs w:val="32"/>
        </w:rPr>
        <w:t>对企业提交的申请表中有关生产经营情况、经济数据</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用地需求真实性</w:t>
      </w:r>
      <w:r>
        <w:rPr>
          <w:rFonts w:hint="eastAsia" w:ascii="仿宋_GB2312" w:hAnsi="仿宋_GB2312" w:eastAsia="仿宋_GB2312"/>
          <w:color w:val="000000"/>
          <w:sz w:val="32"/>
          <w:szCs w:val="32"/>
        </w:rPr>
        <w:t>、项目备案或核准信息、项目开工及投产承诺等</w:t>
      </w:r>
      <w:r>
        <w:rPr>
          <w:rFonts w:ascii="仿宋_GB2312" w:hAnsi="仿宋_GB2312" w:eastAsia="仿宋_GB2312"/>
          <w:color w:val="000000"/>
          <w:sz w:val="32"/>
          <w:szCs w:val="32"/>
        </w:rPr>
        <w:t>进行</w:t>
      </w:r>
      <w:r>
        <w:rPr>
          <w:rFonts w:hint="eastAsia" w:ascii="仿宋_GB2312" w:hAnsi="仿宋_GB2312" w:eastAsia="仿宋_GB2312"/>
          <w:color w:val="000000"/>
          <w:sz w:val="32"/>
          <w:szCs w:val="32"/>
        </w:rPr>
        <w:t>实地</w:t>
      </w:r>
      <w:r>
        <w:rPr>
          <w:rFonts w:ascii="仿宋_GB2312" w:hAnsi="仿宋_GB2312" w:eastAsia="仿宋_GB2312"/>
          <w:color w:val="000000"/>
          <w:sz w:val="32"/>
          <w:szCs w:val="32"/>
        </w:rPr>
        <w:t>调查核实，确保</w:t>
      </w:r>
      <w:r>
        <w:rPr>
          <w:rFonts w:hint="eastAsia" w:ascii="仿宋_GB2312" w:hAnsi="仿宋_GB2312" w:eastAsia="仿宋_GB2312"/>
          <w:color w:val="000000"/>
          <w:sz w:val="32"/>
          <w:szCs w:val="32"/>
        </w:rPr>
        <w:t>项目信息真实有效、</w:t>
      </w:r>
      <w:r>
        <w:rPr>
          <w:rFonts w:ascii="仿宋_GB2312" w:hAnsi="仿宋_GB2312" w:eastAsia="仿宋_GB2312"/>
          <w:color w:val="000000"/>
          <w:sz w:val="32"/>
          <w:szCs w:val="32"/>
        </w:rPr>
        <w:t>各项经济数据准确无误，</w:t>
      </w:r>
      <w:r>
        <w:rPr>
          <w:rFonts w:hint="eastAsia" w:ascii="仿宋_GB2312" w:hAnsi="仿宋_GB2312" w:eastAsia="仿宋_GB2312"/>
          <w:color w:val="000000"/>
          <w:sz w:val="32"/>
          <w:szCs w:val="32"/>
        </w:rPr>
        <w:t>上</w:t>
      </w:r>
      <w:r>
        <w:rPr>
          <w:rFonts w:hint="eastAsia" w:ascii="仿宋_GB2312" w:hAnsi="仿宋_GB2312" w:eastAsia="仿宋_GB2312" w:cs="仿宋_GB2312"/>
          <w:bCs/>
          <w:color w:val="000000"/>
          <w:sz w:val="32"/>
          <w:szCs w:val="32"/>
        </w:rPr>
        <w:t>报县区政府、凤泉湖高新区管委会审核同意后</w:t>
      </w:r>
      <w:r>
        <w:rPr>
          <w:rFonts w:hint="eastAsia" w:ascii="仿宋_GB2312" w:hAnsi="仿宋_GB2312" w:eastAsia="仿宋_GB2312"/>
          <w:color w:val="000000"/>
          <w:sz w:val="32"/>
          <w:szCs w:val="32"/>
        </w:rPr>
        <w:t>出具初审意见书</w:t>
      </w:r>
      <w:r>
        <w:rPr>
          <w:rFonts w:hint="eastAsia" w:ascii="仿宋_GB2312" w:hAnsi="仿宋_GB2312" w:eastAsia="仿宋_GB2312" w:cs="仿宋_GB2312"/>
          <w:bCs/>
          <w:color w:val="000000"/>
          <w:sz w:val="32"/>
          <w:szCs w:val="32"/>
        </w:rPr>
        <w:t>，</w:t>
      </w:r>
      <w:r>
        <w:rPr>
          <w:rFonts w:hint="eastAsia" w:ascii="仿宋_GB2312" w:hAnsi="仿宋_GB2312" w:eastAsia="仿宋_GB2312"/>
          <w:color w:val="000000"/>
          <w:sz w:val="32"/>
          <w:szCs w:val="32"/>
        </w:rPr>
        <w:t>在</w:t>
      </w:r>
      <w:r>
        <w:rPr>
          <w:rFonts w:hint="eastAsia" w:ascii="仿宋_GB2312" w:hAnsi="仿宋_GB2312" w:eastAsia="仿宋_GB2312" w:cs="仿宋_GB2312"/>
          <w:sz w:val="32"/>
          <w:szCs w:val="32"/>
        </w:rPr>
        <w:t>“敞开申报”系统上报市</w:t>
      </w:r>
      <w:r>
        <w:rPr>
          <w:rFonts w:ascii="仿宋_GB2312" w:hAnsi="仿宋_GB2312" w:eastAsia="仿宋_GB2312"/>
          <w:color w:val="000000"/>
          <w:sz w:val="32"/>
          <w:szCs w:val="32"/>
        </w:rPr>
        <w:t>联席会议办公室。</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textAlignment w:val="auto"/>
        <w:rPr>
          <w:rFonts w:ascii="仿宋_GB2312" w:hAnsi="仿宋_GB2312" w:eastAsia="仿宋_GB2312"/>
          <w:color w:val="000000"/>
          <w:sz w:val="32"/>
          <w:szCs w:val="32"/>
          <w:highlight w:val="yellow"/>
        </w:rPr>
      </w:pPr>
      <w:r>
        <w:rPr>
          <w:rFonts w:ascii="仿宋_GB2312" w:hAnsi="仿宋_GB2312" w:eastAsia="仿宋_GB2312"/>
          <w:color w:val="000000"/>
          <w:sz w:val="32"/>
          <w:szCs w:val="32"/>
        </w:rPr>
        <w:t>涉及跨区域申请用地的，</w:t>
      </w:r>
      <w:r>
        <w:rPr>
          <w:rFonts w:hint="eastAsia" w:ascii="仿宋_GB2312" w:hAnsi="仿宋_GB2312" w:eastAsia="仿宋_GB2312"/>
          <w:color w:val="000000"/>
          <w:sz w:val="32"/>
          <w:szCs w:val="32"/>
        </w:rPr>
        <w:t>企业所在县区、凤泉湖高新区工信部门对企业信息进行调研核实后，将企业申报信息流转至申请地块所在</w:t>
      </w:r>
      <w:r>
        <w:rPr>
          <w:rFonts w:ascii="仿宋_GB2312" w:hAnsi="仿宋_GB2312" w:eastAsia="仿宋_GB2312"/>
          <w:color w:val="000000"/>
          <w:sz w:val="32"/>
          <w:szCs w:val="32"/>
        </w:rPr>
        <w:t>县区、凤泉湖高新区工信部门</w:t>
      </w:r>
      <w:r>
        <w:rPr>
          <w:rFonts w:hint="eastAsia" w:ascii="仿宋_GB2312" w:hAnsi="仿宋_GB2312" w:eastAsia="仿宋_GB2312"/>
          <w:color w:val="000000"/>
          <w:sz w:val="32"/>
          <w:szCs w:val="32"/>
        </w:rPr>
        <w:t>进行研判及推动</w:t>
      </w:r>
      <w:r>
        <w:rPr>
          <w:rFonts w:ascii="仿宋_GB2312" w:hAnsi="仿宋_GB2312" w:eastAsia="仿宋_GB2312"/>
          <w:color w:val="000000"/>
          <w:sz w:val="32"/>
          <w:szCs w:val="32"/>
        </w:rPr>
        <w:t>。</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textAlignment w:val="auto"/>
        <w:rPr>
          <w:rFonts w:ascii="楷体" w:hAnsi="楷体" w:eastAsia="楷体"/>
          <w:color w:val="000000"/>
          <w:sz w:val="32"/>
          <w:szCs w:val="32"/>
        </w:rPr>
      </w:pPr>
      <w:r>
        <w:rPr>
          <w:rFonts w:hint="eastAsia" w:ascii="楷体_GB2312" w:hAnsi="楷体_GB2312" w:eastAsia="楷体_GB2312" w:cs="楷体_GB2312"/>
          <w:color w:val="000000"/>
          <w:sz w:val="32"/>
          <w:szCs w:val="32"/>
        </w:rPr>
        <w:t>（三）集中分析研究。</w:t>
      </w:r>
      <w:r>
        <w:rPr>
          <w:rFonts w:hint="eastAsia" w:ascii="仿宋_GB2312" w:hAnsi="仿宋_GB2312" w:eastAsia="仿宋_GB2312" w:cs="宋体"/>
          <w:color w:val="000000"/>
          <w:kern w:val="2"/>
          <w:sz w:val="32"/>
          <w:szCs w:val="32"/>
        </w:rPr>
        <w:t>市</w:t>
      </w:r>
      <w:r>
        <w:rPr>
          <w:rFonts w:ascii="仿宋_GB2312" w:hAnsi="仿宋_GB2312" w:eastAsia="仿宋_GB2312" w:cs="宋体"/>
          <w:color w:val="000000"/>
          <w:kern w:val="2"/>
          <w:sz w:val="32"/>
          <w:szCs w:val="32"/>
        </w:rPr>
        <w:t>联</w:t>
      </w:r>
      <w:r>
        <w:rPr>
          <w:rFonts w:ascii="仿宋_GB2312" w:hAnsi="仿宋_GB2312" w:eastAsia="仿宋_GB2312"/>
          <w:color w:val="000000"/>
          <w:sz w:val="32"/>
          <w:szCs w:val="32"/>
        </w:rPr>
        <w:t>席会议办公室</w:t>
      </w:r>
      <w:r>
        <w:rPr>
          <w:rFonts w:hint="eastAsia" w:ascii="仿宋_GB2312" w:hAnsi="仿宋_GB2312" w:eastAsia="仿宋_GB2312"/>
          <w:bCs/>
          <w:color w:val="000000"/>
          <w:sz w:val="32"/>
          <w:szCs w:val="32"/>
        </w:rPr>
        <w:t>在5个工作日内将企业用地需求解决意见上报联席会议集中研究</w:t>
      </w:r>
      <w:r>
        <w:rPr>
          <w:rFonts w:ascii="仿宋_GB2312" w:hAnsi="仿宋_GB2312" w:eastAsia="仿宋_GB2312"/>
          <w:color w:val="000000"/>
          <w:sz w:val="32"/>
          <w:szCs w:val="32"/>
        </w:rPr>
        <w:t>。</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（四）确定解决意见。</w:t>
      </w:r>
      <w:r>
        <w:rPr>
          <w:rFonts w:hint="eastAsia" w:ascii="仿宋_GB2312" w:hAnsi="仿宋_GB2312" w:eastAsia="仿宋_GB2312"/>
          <w:color w:val="000000"/>
          <w:sz w:val="32"/>
          <w:szCs w:val="32"/>
        </w:rPr>
        <w:t>市联席会议审核同意后，各县区、凤泉湖高新区管委会要根据市联席会议集中研究通过的意见，按照“一企一档”的原则对企业用地需求解决意见作细化分解，逐个制定供地及开工工作计划表（除需办理用林用矿手续和涉及园区外新征地等特殊情况外，原则上供地时间不超过半年），列明具体工作措施、主要存在问题等，明确落实责任人和完成项目土地供应、开工建设的时间期限，10个工作日内上报市政府</w:t>
      </w:r>
      <w:r>
        <w:rPr>
          <w:rFonts w:ascii="仿宋_GB2312" w:hAnsi="仿宋_GB2312" w:eastAsia="仿宋_GB2312"/>
          <w:color w:val="000000"/>
          <w:sz w:val="32"/>
          <w:szCs w:val="32"/>
        </w:rPr>
        <w:t>联席会议</w:t>
      </w:r>
      <w:r>
        <w:rPr>
          <w:rFonts w:hint="eastAsia" w:ascii="仿宋_GB2312" w:hAnsi="仿宋_GB2312" w:eastAsia="仿宋_GB2312"/>
          <w:color w:val="000000"/>
          <w:sz w:val="32"/>
          <w:szCs w:val="32"/>
        </w:rPr>
        <w:t>办公室备案。</w:t>
      </w:r>
    </w:p>
    <w:p>
      <w:pPr>
        <w:keepNext w:val="0"/>
        <w:keepLines w:val="0"/>
        <w:pageBreakBefore w:val="0"/>
        <w:kinsoku/>
        <w:wordWrap/>
        <w:overflowPunct/>
        <w:topLinePunct w:val="0"/>
        <w:autoSpaceDE/>
        <w:autoSpaceDN/>
        <w:bidi w:val="0"/>
        <w:adjustRightInd w:val="0"/>
        <w:snapToGrid w:val="0"/>
        <w:spacing w:line="570" w:lineRule="exact"/>
        <w:ind w:left="0" w:leftChars="0" w:firstLine="640" w:firstLineChars="200"/>
        <w:textAlignment w:val="auto"/>
        <w:rPr>
          <w:rFonts w:eastAsia="楷体"/>
        </w:rPr>
      </w:pPr>
      <w:r>
        <w:rPr>
          <w:rFonts w:hint="eastAsia" w:ascii="楷体_GB2312" w:hAnsi="楷体_GB2312" w:eastAsia="楷体_GB2312" w:cs="楷体_GB2312"/>
          <w:color w:val="000000"/>
          <w:kern w:val="0"/>
          <w:sz w:val="32"/>
          <w:szCs w:val="32"/>
          <w:lang w:val="en-US" w:eastAsia="zh-CN" w:bidi="ar-SA"/>
        </w:rPr>
        <w:t>（五）跟踪督导落实。</w:t>
      </w:r>
      <w:r>
        <w:rPr>
          <w:rFonts w:hint="eastAsia" w:ascii="仿宋_GB2312" w:hAnsi="仿宋_GB2312" w:eastAsia="仿宋_GB2312"/>
          <w:color w:val="000000"/>
          <w:sz w:val="32"/>
          <w:szCs w:val="32"/>
        </w:rPr>
        <w:t>各县区、凤泉湖高新区要根据供地及开工工作计划表，动态跟踪项目供地进展、开工进展、纳统进展、竣工进展，协调解决制约因素，将进展情况定期报送市联席会议办公室；市</w:t>
      </w:r>
      <w:r>
        <w:rPr>
          <w:rFonts w:ascii="仿宋_GB2312" w:hAnsi="仿宋_GB2312" w:eastAsia="仿宋_GB2312"/>
          <w:color w:val="000000"/>
          <w:sz w:val="32"/>
          <w:szCs w:val="32"/>
        </w:rPr>
        <w:t>联席会议办公室</w:t>
      </w:r>
      <w:r>
        <w:rPr>
          <w:rFonts w:hint="eastAsia" w:ascii="仿宋_GB2312" w:hAnsi="仿宋_GB2312" w:eastAsia="仿宋_GB2312" w:cs="Times New Roman"/>
          <w:color w:val="000000"/>
          <w:kern w:val="0"/>
          <w:sz w:val="32"/>
          <w:szCs w:val="32"/>
        </w:rPr>
        <w:t>定期通报各县区、凤泉湖高新区“敞开申报”项目供地、开工、竣工任务完成情况，对进展缓慢的项目开展现场督导，确保项目按计划推进，形成上下联动、齐抓共管的工作格局。</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color w:val="000000"/>
          <w:sz w:val="32"/>
          <w:szCs w:val="32"/>
        </w:rPr>
      </w:pPr>
      <w:r>
        <w:rPr>
          <w:rFonts w:ascii="黑体" w:hAnsi="黑体" w:eastAsia="黑体"/>
          <w:color w:val="000000"/>
          <w:sz w:val="32"/>
          <w:szCs w:val="32"/>
        </w:rPr>
        <w:t>六、</w:t>
      </w:r>
      <w:r>
        <w:rPr>
          <w:rFonts w:hint="eastAsia" w:ascii="黑体" w:hAnsi="黑体" w:eastAsia="黑体"/>
          <w:color w:val="000000"/>
          <w:sz w:val="32"/>
          <w:szCs w:val="32"/>
        </w:rPr>
        <w:t>加强</w:t>
      </w:r>
      <w:r>
        <w:rPr>
          <w:rFonts w:ascii="黑体" w:hAnsi="黑体" w:eastAsia="黑体"/>
          <w:color w:val="000000"/>
          <w:sz w:val="32"/>
          <w:szCs w:val="32"/>
        </w:rPr>
        <w:t>监管</w:t>
      </w:r>
    </w:p>
    <w:p>
      <w:pPr>
        <w:pStyle w:val="7"/>
        <w:keepNext w:val="0"/>
        <w:keepLines w:val="0"/>
        <w:pageBreakBefore w:val="0"/>
        <w:widowControl/>
        <w:kinsoku/>
        <w:wordWrap/>
        <w:overflowPunct/>
        <w:topLinePunct w:val="0"/>
        <w:autoSpaceDE/>
        <w:autoSpaceDN/>
        <w:bidi w:val="0"/>
        <w:spacing w:line="570" w:lineRule="exact"/>
        <w:ind w:left="0" w:leftChars="0" w:firstLine="640" w:firstLineChars="200"/>
        <w:jc w:val="left"/>
        <w:textAlignment w:val="auto"/>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（一）落实增资扩产。</w:t>
      </w:r>
      <w:r>
        <w:rPr>
          <w:rFonts w:hint="eastAsia" w:ascii="仿宋_GB2312" w:hAnsi="仿宋_GB2312" w:eastAsia="仿宋_GB2312"/>
          <w:color w:val="000000"/>
          <w:sz w:val="32"/>
          <w:szCs w:val="32"/>
        </w:rPr>
        <w:t>通过“敞开申报”工作机制解决用地需求的企业，要严格落实工业用地全生命周期工作机制，</w:t>
      </w:r>
      <w:r>
        <w:rPr>
          <w:rFonts w:hint="eastAsia" w:ascii="仿宋_GB2312" w:hAnsi="仿宋_GB2312" w:eastAsia="仿宋_GB2312"/>
          <w:color w:val="000000"/>
          <w:sz w:val="32"/>
          <w:szCs w:val="32"/>
          <w:lang w:eastAsia="zh-CN"/>
        </w:rPr>
        <w:t>推动</w:t>
      </w:r>
      <w:r>
        <w:rPr>
          <w:rFonts w:hint="eastAsia" w:ascii="仿宋_GB2312" w:hAnsi="仿宋_GB2312" w:eastAsia="仿宋_GB2312"/>
          <w:color w:val="000000"/>
          <w:sz w:val="32"/>
          <w:szCs w:val="32"/>
        </w:rPr>
        <w:t>“申报</w:t>
      </w:r>
      <w:r>
        <w:rPr>
          <w:rFonts w:ascii="仿宋_GB2312" w:hAnsi="仿宋_GB2312" w:eastAsia="仿宋_GB2312"/>
          <w:color w:val="000000"/>
          <w:sz w:val="32"/>
          <w:szCs w:val="32"/>
        </w:rPr>
        <w:t>即筹建、拿地即开工、完工即投产</w:t>
      </w:r>
      <w:r>
        <w:rPr>
          <w:rFonts w:hint="eastAsia" w:ascii="仿宋_GB2312" w:hAnsi="仿宋_GB2312" w:eastAsia="仿宋_GB2312"/>
          <w:color w:val="000000"/>
          <w:sz w:val="32"/>
          <w:szCs w:val="32"/>
        </w:rPr>
        <w:t>”，自土地供应六个月内必须开工建设。</w:t>
      </w:r>
    </w:p>
    <w:p>
      <w:pPr>
        <w:pStyle w:val="7"/>
        <w:keepNext w:val="0"/>
        <w:keepLines w:val="0"/>
        <w:pageBreakBefore w:val="0"/>
        <w:widowControl/>
        <w:kinsoku/>
        <w:wordWrap/>
        <w:overflowPunct/>
        <w:topLinePunct w:val="0"/>
        <w:autoSpaceDE/>
        <w:autoSpaceDN/>
        <w:bidi w:val="0"/>
        <w:spacing w:line="570" w:lineRule="exact"/>
        <w:ind w:left="0" w:leftChars="0" w:firstLine="640" w:firstLineChars="200"/>
        <w:jc w:val="left"/>
        <w:textAlignment w:val="auto"/>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（二）签订监管协议。</w:t>
      </w:r>
      <w:r>
        <w:rPr>
          <w:rFonts w:hint="eastAsia" w:ascii="仿宋_GB2312" w:hAnsi="仿宋_GB2312" w:eastAsia="仿宋_GB2312"/>
          <w:color w:val="000000"/>
          <w:sz w:val="32"/>
          <w:szCs w:val="32"/>
        </w:rPr>
        <w:t>县区人民政府、凤泉湖高新区管委会作为企业用地申报的责任主体，负责在土地供应前与申请用地企业签订项目监管协议。项目监管协议应涵盖准入条件、开工时间、竣工时间、投产时间、投资强度、亩均贡献、节能环保、股权变更约束、退出机制、违约责任等相关条款，并明确具体考核指标。县区人民政府、凤泉湖高新区管委会可结合项目实际情况，在项目监管协议中增加相应条款。</w:t>
      </w:r>
    </w:p>
    <w:p>
      <w:pPr>
        <w:pStyle w:val="7"/>
        <w:keepNext w:val="0"/>
        <w:keepLines w:val="0"/>
        <w:pageBreakBefore w:val="0"/>
        <w:widowControl/>
        <w:kinsoku/>
        <w:wordWrap/>
        <w:overflowPunct/>
        <w:topLinePunct w:val="0"/>
        <w:autoSpaceDE/>
        <w:autoSpaceDN/>
        <w:bidi w:val="0"/>
        <w:spacing w:line="570" w:lineRule="exact"/>
        <w:ind w:left="0" w:leftChars="0" w:firstLine="640" w:firstLineChars="200"/>
        <w:jc w:val="left"/>
        <w:textAlignment w:val="auto"/>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（三）加强监管检查。</w:t>
      </w:r>
      <w:r>
        <w:rPr>
          <w:rFonts w:hint="eastAsia" w:ascii="仿宋_GB2312" w:hAnsi="仿宋_GB2312" w:eastAsia="仿宋_GB2312"/>
          <w:color w:val="000000"/>
          <w:sz w:val="32"/>
          <w:szCs w:val="32"/>
        </w:rPr>
        <w:t>县区人民政府、凤泉湖高新区管委会应依据项目监管协议要求，定期核查项目监管协议约定事项的履行情况。对于未按约定时间开工竣工、未达约定投资强度或亩均贡献，导致履约考核未通过的情况，县区人民政府、凤泉湖高新区管委会应组织自然资源、产业主管、市场监管、信用监管等部门依法依约处置。</w:t>
      </w: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textAlignment w:val="auto"/>
        <w:rPr>
          <w:rFonts w:ascii="黑体" w:hAnsi="黑体" w:eastAsia="黑体"/>
          <w:sz w:val="32"/>
          <w:szCs w:val="32"/>
        </w:rPr>
      </w:pPr>
      <w:r>
        <w:rPr>
          <w:rFonts w:hint="eastAsia" w:ascii="黑体" w:hAnsi="黑体" w:eastAsia="黑体"/>
          <w:sz w:val="32"/>
          <w:szCs w:val="32"/>
        </w:rPr>
        <w:t>七、其他</w:t>
      </w:r>
    </w:p>
    <w:p>
      <w:pPr>
        <w:pStyle w:val="8"/>
        <w:keepNext w:val="0"/>
        <w:keepLines w:val="0"/>
        <w:pageBreakBefore w:val="0"/>
        <w:kinsoku/>
        <w:wordWrap/>
        <w:overflowPunct/>
        <w:topLinePunct w:val="0"/>
        <w:autoSpaceDE/>
        <w:autoSpaceDN/>
        <w:bidi w:val="0"/>
        <w:spacing w:after="0" w:line="570" w:lineRule="exact"/>
        <w:ind w:left="0" w:leftChars="0" w:firstLine="640" w:firstLineChars="200"/>
        <w:textAlignment w:val="auto"/>
      </w:pPr>
      <w:r>
        <w:rPr>
          <w:rFonts w:hint="eastAsia" w:ascii="仿宋_GB2312" w:hAnsi="仿宋_GB2312" w:eastAsia="仿宋_GB2312"/>
          <w:sz w:val="32"/>
          <w:szCs w:val="32"/>
        </w:rPr>
        <w:t>各县区人民政府、凤泉湖高新区管委会要结合本地区实际制定“敞开申报”实施细则，细化申报材料清单、规范审核环节操作流程、优化跨部门协作衔接机制、明确项目监管的动态评估指标体系及违约情形的具体认定与处置程序，切实增强政策落地的实操性与针对性。</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本实施细则自印发之日起实施，执行至2028年5月29日止，由市工业和信息化局、市自然资源局按各自职责负责解释。</w:t>
      </w:r>
    </w:p>
    <w:p>
      <w:pPr>
        <w:pStyle w:val="7"/>
        <w:keepNext w:val="0"/>
        <w:keepLines w:val="0"/>
        <w:pageBreakBefore w:val="0"/>
        <w:kinsoku/>
        <w:wordWrap/>
        <w:overflowPunct/>
        <w:topLinePunct w:val="0"/>
        <w:autoSpaceDE/>
        <w:autoSpaceDN/>
        <w:bidi w:val="0"/>
        <w:snapToGrid w:val="0"/>
        <w:spacing w:line="570" w:lineRule="exact"/>
        <w:jc w:val="left"/>
        <w:textAlignment w:val="auto"/>
        <w:rPr>
          <w:rFonts w:ascii="仿宋_GB2312" w:hAnsi="仿宋_GB2312" w:eastAsia="仿宋_GB2312"/>
          <w:color w:val="000000"/>
          <w:sz w:val="32"/>
          <w:szCs w:val="32"/>
        </w:rPr>
      </w:pPr>
    </w:p>
    <w:p>
      <w:pPr>
        <w:pStyle w:val="7"/>
        <w:keepNext w:val="0"/>
        <w:keepLines w:val="0"/>
        <w:pageBreakBefore w:val="0"/>
        <w:kinsoku/>
        <w:wordWrap/>
        <w:overflowPunct/>
        <w:topLinePunct w:val="0"/>
        <w:autoSpaceDE/>
        <w:autoSpaceDN/>
        <w:bidi w:val="0"/>
        <w:snapToGrid w:val="0"/>
        <w:spacing w:line="570" w:lineRule="exact"/>
        <w:ind w:left="0" w:leftChars="0" w:firstLine="640" w:firstLineChars="200"/>
        <w:jc w:val="left"/>
        <w:textAlignment w:val="auto"/>
        <w:rPr>
          <w:rFonts w:ascii="仿宋_GB2312" w:hAnsi="仿宋_GB2312" w:eastAsia="仿宋_GB2312"/>
          <w:color w:val="000000"/>
        </w:rPr>
      </w:pPr>
      <w:r>
        <w:rPr>
          <w:rFonts w:ascii="仿宋_GB2312" w:hAnsi="仿宋_GB2312" w:eastAsia="仿宋_GB2312"/>
          <w:color w:val="000000"/>
          <w:sz w:val="32"/>
          <w:szCs w:val="32"/>
        </w:rPr>
        <w:t>附件：1.潮州市工业企业用地需求申请表</w:t>
      </w:r>
    </w:p>
    <w:p>
      <w:pPr>
        <w:keepNext w:val="0"/>
        <w:keepLines w:val="0"/>
        <w:pageBreakBefore w:val="0"/>
        <w:kinsoku/>
        <w:wordWrap/>
        <w:overflowPunct/>
        <w:topLinePunct w:val="0"/>
        <w:autoSpaceDE/>
        <w:autoSpaceDN/>
        <w:bidi w:val="0"/>
        <w:spacing w:line="570" w:lineRule="exact"/>
        <w:ind w:left="0" w:leftChars="0" w:firstLine="1600" w:firstLineChars="500"/>
        <w:textAlignment w:val="auto"/>
        <w:rPr>
          <w:rFonts w:ascii="仿宋_GB2312" w:hAnsi="仿宋_GB2312" w:eastAsia="仿宋_GB2312"/>
          <w:color w:val="000000"/>
          <w:sz w:val="32"/>
          <w:szCs w:val="32"/>
        </w:rPr>
      </w:pPr>
      <w:r>
        <w:rPr>
          <w:rFonts w:hint="eastAsia" w:ascii="仿宋_GB2312" w:hAnsi="仿宋_GB2312" w:eastAsia="仿宋_GB2312"/>
          <w:color w:val="000000"/>
          <w:sz w:val="32"/>
          <w:szCs w:val="32"/>
        </w:rPr>
        <w:t>2.</w:t>
      </w:r>
      <w:r>
        <w:rPr>
          <w:rFonts w:ascii="仿宋_GB2312" w:hAnsi="仿宋_GB2312" w:eastAsia="仿宋_GB2312"/>
          <w:color w:val="000000"/>
          <w:sz w:val="32"/>
          <w:szCs w:val="32"/>
        </w:rPr>
        <w:t>潮州市工业企业用地需求汇总表</w:t>
      </w:r>
    </w:p>
    <w:p>
      <w:pPr>
        <w:pStyle w:val="2"/>
        <w:keepNext w:val="0"/>
        <w:keepLines w:val="0"/>
        <w:pageBreakBefore w:val="0"/>
        <w:kinsoku/>
        <w:wordWrap/>
        <w:overflowPunct/>
        <w:topLinePunct w:val="0"/>
        <w:autoSpaceDE/>
        <w:autoSpaceDN/>
        <w:bidi w:val="0"/>
        <w:spacing w:after="0" w:line="570" w:lineRule="exact"/>
        <w:ind w:left="1916" w:leftChars="760" w:hanging="320" w:hangingChars="100"/>
        <w:textAlignment w:val="auto"/>
        <w:rPr>
          <w:rFonts w:ascii="仿宋_GB2312" w:hAnsi="仿宋_GB2312" w:eastAsia="仿宋_GB2312" w:cs="Times New Roman"/>
          <w:color w:val="000000"/>
          <w:sz w:val="32"/>
          <w:szCs w:val="32"/>
        </w:rPr>
      </w:pPr>
      <w:r>
        <w:rPr>
          <w:rFonts w:hint="eastAsia" w:ascii="仿宋_GB2312" w:hAnsi="仿宋_GB2312" w:eastAsia="仿宋_GB2312" w:cs="Times New Roman"/>
          <w:color w:val="000000"/>
          <w:sz w:val="32"/>
          <w:szCs w:val="32"/>
        </w:rPr>
        <w:t>3.潮州市工业用地“敞开申报”项目监管协议</w:t>
      </w:r>
      <w:r>
        <w:rPr>
          <w:rFonts w:hint="eastAsia" w:ascii="仿宋_GB2312" w:hAnsi="仿宋_GB2312" w:eastAsia="仿宋_GB2312" w:cs="Times New Roman"/>
          <w:color w:val="000000"/>
          <w:sz w:val="32"/>
          <w:szCs w:val="32"/>
          <w:lang w:eastAsia="zh-CN"/>
        </w:rPr>
        <w:t>（</w:t>
      </w:r>
      <w:r>
        <w:rPr>
          <w:rFonts w:hint="eastAsia" w:ascii="仿宋_GB2312" w:hAnsi="仿宋_GB2312" w:eastAsia="仿宋_GB2312" w:cs="Times New Roman"/>
          <w:color w:val="000000"/>
          <w:sz w:val="32"/>
          <w:szCs w:val="32"/>
        </w:rPr>
        <w:t>参考文本</w:t>
      </w:r>
      <w:r>
        <w:rPr>
          <w:rFonts w:hint="eastAsia" w:ascii="仿宋_GB2312" w:hAnsi="仿宋_GB2312" w:eastAsia="仿宋_GB2312" w:cs="Times New Roman"/>
          <w:color w:val="000000"/>
          <w:sz w:val="32"/>
          <w:szCs w:val="32"/>
          <w:lang w:eastAsia="zh-CN"/>
        </w:rPr>
        <w:t>）</w:t>
      </w:r>
    </w:p>
    <w:p>
      <w:pPr>
        <w:pStyle w:val="2"/>
        <w:keepNext w:val="0"/>
        <w:keepLines w:val="0"/>
        <w:pageBreakBefore w:val="0"/>
        <w:kinsoku/>
        <w:wordWrap/>
        <w:overflowPunct/>
        <w:topLinePunct w:val="0"/>
        <w:autoSpaceDE/>
        <w:autoSpaceDN/>
        <w:bidi w:val="0"/>
        <w:spacing w:after="0" w:line="570" w:lineRule="exact"/>
        <w:ind w:left="0" w:leftChars="0" w:firstLine="1600" w:firstLineChars="500"/>
        <w:textAlignment w:val="auto"/>
        <w:rPr>
          <w:rFonts w:ascii="仿宋_GB2312" w:hAnsi="仿宋_GB2312" w:eastAsia="仿宋_GB2312" w:cs="Times New Roman"/>
          <w:color w:val="000000"/>
          <w:sz w:val="32"/>
          <w:szCs w:val="32"/>
        </w:rPr>
      </w:pPr>
      <w:r>
        <w:rPr>
          <w:rFonts w:hint="eastAsia" w:ascii="仿宋_GB2312" w:hAnsi="仿宋_GB2312" w:eastAsia="仿宋_GB2312" w:cs="Times New Roman"/>
          <w:color w:val="000000"/>
          <w:sz w:val="32"/>
          <w:szCs w:val="32"/>
        </w:rPr>
        <w:t>4.</w:t>
      </w:r>
      <w:r>
        <w:rPr>
          <w:rFonts w:hint="eastAsia" w:ascii="仿宋_GB2312" w:hAnsi="仿宋_GB2312" w:eastAsia="仿宋_GB2312"/>
          <w:color w:val="000000"/>
          <w:sz w:val="32"/>
          <w:szCs w:val="32"/>
        </w:rPr>
        <w:t>供地及开工工作</w:t>
      </w:r>
      <w:r>
        <w:rPr>
          <w:rFonts w:hint="eastAsia" w:ascii="仿宋_GB2312" w:hAnsi="仿宋_GB2312" w:eastAsia="仿宋_GB2312" w:cs="Times New Roman"/>
          <w:color w:val="000000"/>
          <w:sz w:val="32"/>
          <w:szCs w:val="32"/>
        </w:rPr>
        <w:t xml:space="preserve">计划表 </w:t>
      </w:r>
    </w:p>
    <w:p>
      <w:pPr>
        <w:keepNext w:val="0"/>
        <w:keepLines w:val="0"/>
        <w:pageBreakBefore w:val="0"/>
        <w:widowControl w:val="0"/>
        <w:kinsoku/>
        <w:wordWrap/>
        <w:overflowPunct/>
        <w:topLinePunct w:val="0"/>
        <w:autoSpaceDE/>
        <w:autoSpaceDN/>
        <w:bidi w:val="0"/>
        <w:adjustRightInd/>
        <w:snapToGrid/>
        <w:spacing w:line="560" w:lineRule="exact"/>
        <w:ind w:left="1916" w:leftChars="760" w:hanging="320" w:hangingChars="100"/>
        <w:jc w:val="both"/>
        <w:textAlignment w:val="auto"/>
        <w:rPr>
          <w:rFonts w:hint="eastAsia" w:ascii="仿宋_GB2312" w:hAnsi="仿宋_GB2312" w:eastAsia="仿宋_GB2312" w:cs="仿宋_GB2312"/>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1916" w:leftChars="760" w:hanging="320" w:hangingChars="100"/>
        <w:jc w:val="both"/>
        <w:textAlignment w:val="auto"/>
        <w:rPr>
          <w:rFonts w:hint="default" w:ascii="仿宋_GB2312" w:hAnsi="仿宋_GB2312" w:eastAsia="仿宋_GB2312" w:cs="仿宋_GB2312"/>
          <w:kern w:val="0"/>
          <w:sz w:val="32"/>
          <w:szCs w:val="32"/>
          <w:lang w:val="en-US" w:eastAsia="zh-CN"/>
        </w:rPr>
      </w:pPr>
    </w:p>
    <w:sectPr>
      <w:footerReference r:id="rId3" w:type="default"/>
      <w:pgSz w:w="11906" w:h="16838"/>
      <w:pgMar w:top="2098"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496514-D49B-4CBB-96CB-6955FE6B15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embedRegular r:id="rId2" w:fontKey="{B1D1CB2B-2591-4AAF-A14E-7A4B241615B3}"/>
  </w:font>
  <w:font w:name="仿宋_GB2312">
    <w:panose1 w:val="02010609030101010101"/>
    <w:charset w:val="86"/>
    <w:family w:val="auto"/>
    <w:pitch w:val="default"/>
    <w:sig w:usb0="00000001" w:usb1="080E0000" w:usb2="00000000" w:usb3="00000000" w:csb0="00040000" w:csb1="00000000"/>
    <w:embedRegular r:id="rId3" w:fontKey="{A0199AC1-D7FE-42AC-9B22-390721DE6D65}"/>
  </w:font>
  <w:font w:name="楷体_GB2312">
    <w:panose1 w:val="02010609030101010101"/>
    <w:charset w:val="86"/>
    <w:family w:val="auto"/>
    <w:pitch w:val="default"/>
    <w:sig w:usb0="00000001" w:usb1="080E0000" w:usb2="00000000" w:usb3="00000000" w:csb0="00040000" w:csb1="00000000"/>
    <w:embedRegular r:id="rId4" w:fontKey="{8837A915-86CD-438D-8631-CC33162FF05C}"/>
  </w:font>
  <w:font w:name="楷体">
    <w:panose1 w:val="02010609060101010101"/>
    <w:charset w:val="86"/>
    <w:family w:val="auto"/>
    <w:pitch w:val="default"/>
    <w:sig w:usb0="800002BF" w:usb1="38CF7CFA" w:usb2="00000016" w:usb3="00000000" w:csb0="00040001" w:csb1="00000000"/>
    <w:embedRegular r:id="rId5" w:fontKey="{E1173F4B-D190-429B-A9A8-F1ADE0363D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2NjY0NGQzYmQ0MzRlMmRlOTNhNDcyYjg4ZTk0NTkifQ=="/>
  </w:docVars>
  <w:rsids>
    <w:rsidRoot w:val="00530CE2"/>
    <w:rsid w:val="000F30D6"/>
    <w:rsid w:val="001674F0"/>
    <w:rsid w:val="0029549D"/>
    <w:rsid w:val="003F4510"/>
    <w:rsid w:val="00530CE2"/>
    <w:rsid w:val="00707045"/>
    <w:rsid w:val="00850829"/>
    <w:rsid w:val="00AE1993"/>
    <w:rsid w:val="00B872C0"/>
    <w:rsid w:val="00F07E2B"/>
    <w:rsid w:val="031B145B"/>
    <w:rsid w:val="04104926"/>
    <w:rsid w:val="06FC5CC3"/>
    <w:rsid w:val="095A3E25"/>
    <w:rsid w:val="0B993DEF"/>
    <w:rsid w:val="0FE73EE9"/>
    <w:rsid w:val="12EF558E"/>
    <w:rsid w:val="13006EDF"/>
    <w:rsid w:val="13C92131"/>
    <w:rsid w:val="14515815"/>
    <w:rsid w:val="14C0671A"/>
    <w:rsid w:val="158C5C66"/>
    <w:rsid w:val="161B48EC"/>
    <w:rsid w:val="18172008"/>
    <w:rsid w:val="1CDC4DD5"/>
    <w:rsid w:val="1D0012B2"/>
    <w:rsid w:val="21F9632E"/>
    <w:rsid w:val="2356042C"/>
    <w:rsid w:val="246875F9"/>
    <w:rsid w:val="29051210"/>
    <w:rsid w:val="298C2FD4"/>
    <w:rsid w:val="2B742A7F"/>
    <w:rsid w:val="2CAD1495"/>
    <w:rsid w:val="2D6A7867"/>
    <w:rsid w:val="32FA2EF9"/>
    <w:rsid w:val="34E3655A"/>
    <w:rsid w:val="34EE0F0B"/>
    <w:rsid w:val="35997E2C"/>
    <w:rsid w:val="35B72835"/>
    <w:rsid w:val="35E31398"/>
    <w:rsid w:val="38CA4224"/>
    <w:rsid w:val="3CAD25B0"/>
    <w:rsid w:val="421540A1"/>
    <w:rsid w:val="4914117A"/>
    <w:rsid w:val="49942410"/>
    <w:rsid w:val="4A7B04D7"/>
    <w:rsid w:val="4CD20DF8"/>
    <w:rsid w:val="4EF43253"/>
    <w:rsid w:val="5B546D83"/>
    <w:rsid w:val="5CFE0F73"/>
    <w:rsid w:val="5D177744"/>
    <w:rsid w:val="5F356B59"/>
    <w:rsid w:val="6100684F"/>
    <w:rsid w:val="62721782"/>
    <w:rsid w:val="6375191D"/>
    <w:rsid w:val="6624022C"/>
    <w:rsid w:val="68020429"/>
    <w:rsid w:val="6C342842"/>
    <w:rsid w:val="72541E8D"/>
    <w:rsid w:val="775904DE"/>
    <w:rsid w:val="798D7CAE"/>
    <w:rsid w:val="79B620A0"/>
    <w:rsid w:val="7B02786B"/>
    <w:rsid w:val="7B4D27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40" w:line="276" w:lineRule="auto"/>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1"/>
    <w:next w:val="8"/>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FFFFFF" w:fill="auto"/>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1"/>
      <w:szCs w:val="24"/>
      <w:lang w:val="en-US" w:eastAsia="zh-CN" w:bidi="ar-SA"/>
    </w:rPr>
  </w:style>
  <w:style w:type="paragraph" w:customStyle="1" w:styleId="8">
    <w:name w:val="正文文本1"/>
    <w:basedOn w:val="7"/>
    <w:next w:val="9"/>
    <w:qFormat/>
    <w:uiPriority w:val="0"/>
    <w:pPr>
      <w:spacing w:after="120"/>
    </w:pPr>
  </w:style>
  <w:style w:type="paragraph" w:customStyle="1" w:styleId="9">
    <w:name w:val="标题1"/>
    <w:basedOn w:val="7"/>
    <w:next w:val="7"/>
    <w:qFormat/>
    <w:uiPriority w:val="0"/>
    <w:pPr>
      <w:spacing w:before="240" w:after="60"/>
      <w:jc w:val="center"/>
    </w:pPr>
    <w:rPr>
      <w:rFonts w:ascii="Cambria" w:hAnsi="Cambria"/>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8</Pages>
  <Words>3545</Words>
  <Characters>3570</Characters>
  <Lines>6</Lines>
  <Paragraphs>1</Paragraphs>
  <TotalTime>27</TotalTime>
  <ScaleCrop>false</ScaleCrop>
  <LinksUpToDate>false</LinksUpToDate>
  <CharactersWithSpaces>3652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2023-10-25T07:44:00Z</dcterms:created>
  <dc:creator>张然毅</dc:creator>
  <cp:lastModifiedBy>郭丽瑶</cp:lastModifiedBy>
  <cp:lastPrinted>2023-10-31T10:05:00Z</cp:lastPrinted>
  <dcterms:modified xsi:type="dcterms:W3CDTF">2026-07-03T08:22:08Z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C1C469CCCC204DD685F0D9E2B093CCEB</vt:lpwstr>
  </property>
  <property fmtid="{D5CDD505-2E9C-101B-9397-08002B2CF9AE}" pid="4" name="KSOTemplateDocerSaveRecord">
    <vt:lpwstr>eyJoZGlkIjoiZWFkMThkNTNiY2NkNjY2ZDQwYWY3N2U3OTFhZGIzMTUiLCJ1c2VySWQiOiIzNTg1OTc0ODQifQ==</vt:lpwstr>
  </property>
</Properties>
</file>