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val="0"/>
        <w:snapToGrid w:val="0"/>
        <w:spacing w:before="0" w:after="0" w:line="560" w:lineRule="exact"/>
        <w:ind w:firstLine="880" w:firstLineChars="200"/>
        <w:jc w:val="center"/>
        <w:textAlignment w:val="auto"/>
        <w:outlineLvl w:val="9"/>
        <w:rPr>
          <w:rFonts w:hint="eastAsia" w:ascii="仿宋" w:hAnsi="仿宋" w:eastAsia="仿宋" w:cs="仿宋"/>
          <w:color w:val="auto"/>
          <w:sz w:val="44"/>
          <w:szCs w:val="44"/>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before="0" w:after="0" w:line="560" w:lineRule="exact"/>
        <w:ind w:firstLine="880" w:firstLineChars="200"/>
        <w:jc w:val="center"/>
        <w:textAlignment w:val="auto"/>
        <w:outlineLvl w:val="9"/>
        <w:rPr>
          <w:rFonts w:hint="eastAsia" w:ascii="仿宋" w:hAnsi="仿宋" w:eastAsia="仿宋" w:cs="仿宋"/>
          <w:color w:val="auto"/>
          <w:sz w:val="44"/>
          <w:szCs w:val="44"/>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before="0" w:after="0" w:line="560" w:lineRule="exact"/>
        <w:ind w:firstLine="880" w:firstLineChars="200"/>
        <w:jc w:val="center"/>
        <w:textAlignment w:val="auto"/>
        <w:outlineLvl w:val="9"/>
        <w:rPr>
          <w:rFonts w:hint="eastAsia" w:ascii="仿宋" w:hAnsi="仿宋" w:eastAsia="仿宋" w:cs="仿宋"/>
          <w:color w:val="auto"/>
          <w:sz w:val="44"/>
          <w:szCs w:val="44"/>
          <w:highlight w:val="none"/>
          <w:lang w:val="en-US" w:eastAsia="zh-CN"/>
        </w:rPr>
      </w:pPr>
    </w:p>
    <w:p>
      <w:pPr>
        <w:keepNext w:val="0"/>
        <w:keepLines w:val="0"/>
        <w:pageBreakBefore w:val="0"/>
        <w:widowControl/>
        <w:kinsoku/>
        <w:wordWrap/>
        <w:overflowPunct/>
        <w:topLinePunct w:val="0"/>
        <w:autoSpaceDE/>
        <w:autoSpaceDN/>
        <w:bidi w:val="0"/>
        <w:adjustRightInd w:val="0"/>
        <w:snapToGrid w:val="0"/>
        <w:spacing w:before="0" w:after="0" w:line="560" w:lineRule="exact"/>
        <w:ind w:firstLine="880" w:firstLineChars="200"/>
        <w:jc w:val="center"/>
        <w:textAlignment w:val="auto"/>
        <w:outlineLvl w:val="9"/>
        <w:rPr>
          <w:rFonts w:hint="eastAsia" w:ascii="仿宋" w:hAnsi="仿宋" w:eastAsia="仿宋" w:cs="仿宋"/>
          <w:color w:val="auto"/>
          <w:sz w:val="44"/>
          <w:szCs w:val="44"/>
          <w:highlight w:val="none"/>
          <w:lang w:val="en-US" w:eastAsia="zh-CN"/>
        </w:rPr>
      </w:pPr>
    </w:p>
    <w:p>
      <w:pPr>
        <w:adjustRightInd w:val="0"/>
        <w:snapToGrid w:val="0"/>
        <w:spacing w:line="560" w:lineRule="exact"/>
        <w:ind w:firstLine="880" w:firstLineChars="200"/>
        <w:jc w:val="center"/>
        <w:rPr>
          <w:rFonts w:hint="eastAsia" w:ascii="方正小标宋简体" w:hAnsi="方正小标宋简体" w:eastAsia="方正小标宋简体" w:cs="方正小标宋简体"/>
          <w:b w:val="0"/>
          <w:bCs w:val="0"/>
          <w:color w:val="auto"/>
          <w:sz w:val="44"/>
          <w:szCs w:val="44"/>
          <w:highlight w:val="none"/>
          <w:lang w:eastAsia="zh-CN"/>
        </w:rPr>
      </w:pPr>
      <w:r>
        <w:rPr>
          <w:rFonts w:hint="eastAsia" w:ascii="方正小标宋简体" w:hAnsi="方正小标宋简体" w:eastAsia="方正小标宋简体" w:cs="方正小标宋简体"/>
          <w:b w:val="0"/>
          <w:bCs w:val="0"/>
          <w:color w:val="auto"/>
          <w:sz w:val="44"/>
          <w:szCs w:val="44"/>
          <w:highlight w:val="none"/>
          <w:lang w:eastAsia="zh-CN"/>
        </w:rPr>
        <w:t>潮州市应急管理“十五五”规划</w:t>
      </w:r>
    </w:p>
    <w:p>
      <w:pPr>
        <w:adjustRightInd w:val="0"/>
        <w:snapToGrid w:val="0"/>
        <w:spacing w:line="560" w:lineRule="exact"/>
        <w:ind w:firstLine="880" w:firstLineChars="200"/>
        <w:jc w:val="center"/>
        <w:rPr>
          <w:rFonts w:hint="eastAsia" w:ascii="方正小标宋简体" w:hAnsi="方正小标宋简体" w:eastAsia="方正小标宋简体" w:cs="方正小标宋简体"/>
          <w:b w:val="0"/>
          <w:bCs w:val="0"/>
          <w:color w:val="auto"/>
          <w:highlight w:val="none"/>
          <w:lang w:val="en-US" w:eastAsia="zh-CN"/>
        </w:rPr>
      </w:pPr>
      <w:r>
        <w:rPr>
          <w:rFonts w:hint="eastAsia" w:ascii="方正小标宋简体" w:hAnsi="方正小标宋简体" w:eastAsia="方正小标宋简体" w:cs="方正小标宋简体"/>
          <w:b w:val="0"/>
          <w:bCs w:val="0"/>
          <w:color w:val="auto"/>
          <w:sz w:val="44"/>
          <w:szCs w:val="44"/>
          <w:highlight w:val="none"/>
          <w:lang w:val="en-US" w:eastAsia="zh-CN"/>
        </w:rPr>
        <w:t>（征求意见稿）</w:t>
      </w:r>
    </w:p>
    <w:p>
      <w:pPr>
        <w:adjustRightInd w:val="0"/>
        <w:snapToGrid w:val="0"/>
        <w:spacing w:line="560" w:lineRule="exact"/>
        <w:ind w:firstLine="640" w:firstLineChars="200"/>
        <w:jc w:val="center"/>
        <w:rPr>
          <w:rFonts w:hint="eastAsia" w:ascii="方正小标宋简体" w:hAnsi="方正小标宋简体" w:eastAsia="方正小标宋简体" w:cs="方正小标宋简体"/>
          <w:color w:val="auto"/>
          <w:highlight w:val="none"/>
          <w:lang w:val="en-US" w:eastAsia="zh-CN"/>
        </w:rPr>
      </w:pPr>
    </w:p>
    <w:p>
      <w:pPr>
        <w:snapToGrid w:val="0"/>
        <w:spacing w:line="560" w:lineRule="exact"/>
        <w:ind w:firstLine="640" w:firstLineChars="200"/>
        <w:jc w:val="center"/>
        <w:rPr>
          <w:rFonts w:hint="eastAsia" w:ascii="方正小标宋简体" w:hAnsi="方正小标宋简体" w:eastAsia="方正小标宋简体" w:cs="方正小标宋简体"/>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napToGrid w:val="0"/>
        <w:spacing w:line="560" w:lineRule="exact"/>
        <w:ind w:firstLine="640" w:firstLineChars="200"/>
        <w:jc w:val="center"/>
        <w:rPr>
          <w:rFonts w:hint="eastAsia" w:ascii="仿宋" w:hAnsi="仿宋" w:eastAsia="仿宋" w:cs="仿宋"/>
          <w:color w:val="auto"/>
          <w:highlight w:val="none"/>
          <w:lang w:val="en-US" w:eastAsia="zh-CN"/>
        </w:rPr>
      </w:pPr>
    </w:p>
    <w:p>
      <w:pPr>
        <w:spacing w:before="0" w:beforeLines="0" w:after="0" w:afterLines="0" w:line="560" w:lineRule="exact"/>
        <w:ind w:left="0" w:leftChars="0" w:right="0" w:rightChars="0" w:firstLine="640" w:firstLineChars="200"/>
        <w:jc w:val="center"/>
        <w:rPr>
          <w:rFonts w:hint="eastAsia" w:ascii="仿宋" w:hAnsi="仿宋" w:eastAsia="仿宋" w:cs="仿宋"/>
          <w:color w:val="auto"/>
          <w:highlight w:val="none"/>
          <w:lang w:val="en-US" w:eastAsia="zh-CN"/>
        </w:rPr>
      </w:pPr>
    </w:p>
    <w:p>
      <w:pPr>
        <w:spacing w:before="0" w:beforeLines="0" w:after="0" w:afterLines="0" w:line="560" w:lineRule="exact"/>
        <w:ind w:left="0" w:leftChars="0" w:right="0" w:rightChars="0" w:firstLine="640" w:firstLineChars="200"/>
        <w:jc w:val="center"/>
        <w:rPr>
          <w:rFonts w:hint="eastAsia" w:ascii="仿宋" w:hAnsi="仿宋" w:eastAsia="仿宋" w:cs="仿宋"/>
          <w:color w:val="auto"/>
          <w:highlight w:val="none"/>
          <w:lang w:val="en-US" w:eastAsia="zh-CN"/>
        </w:rPr>
      </w:pPr>
    </w:p>
    <w:p>
      <w:pPr>
        <w:spacing w:before="0" w:beforeLines="0" w:after="0" w:afterLines="0" w:line="560" w:lineRule="exact"/>
        <w:ind w:left="0" w:leftChars="0" w:right="0" w:rightChars="0" w:firstLine="640" w:firstLineChars="200"/>
        <w:jc w:val="center"/>
        <w:rPr>
          <w:rFonts w:hint="eastAsia" w:ascii="方正黑体_GBK" w:hAnsi="方正黑体_GBK" w:eastAsia="方正黑体_GBK" w:cs="方正黑体_GBK"/>
          <w:color w:val="auto"/>
          <w:highlight w:val="none"/>
          <w:lang w:val="en-US" w:eastAsia="zh-CN"/>
        </w:rPr>
        <w:sectPr>
          <w:footerReference r:id="rId5" w:type="default"/>
          <w:pgSz w:w="11906" w:h="16838"/>
          <w:pgMar w:top="1440" w:right="1800" w:bottom="1440" w:left="1800" w:header="851" w:footer="992" w:gutter="0"/>
          <w:pgNumType w:fmt="decimal" w:start="1"/>
          <w:cols w:space="425" w:num="1"/>
          <w:docGrid w:type="lines" w:linePitch="312" w:charSpace="0"/>
        </w:sectPr>
      </w:pPr>
      <w:r>
        <w:rPr>
          <w:rFonts w:hint="eastAsia" w:ascii="方正黑体_GBK" w:hAnsi="方正黑体_GBK" w:eastAsia="方正黑体_GBK" w:cs="方正黑体_GBK"/>
          <w:color w:val="auto"/>
          <w:highlight w:val="none"/>
          <w:lang w:val="en-US" w:eastAsia="zh-CN"/>
        </w:rPr>
        <w:t>202</w:t>
      </w:r>
      <w:r>
        <w:rPr>
          <w:rFonts w:hint="eastAsia" w:ascii="方正黑体_GBK" w:hAnsi="方正黑体_GBK" w:eastAsia="方正黑体_GBK" w:cs="方正黑体_GBK"/>
          <w:color w:val="auto"/>
          <w:highlight w:val="none"/>
          <w:lang w:val="en-US" w:eastAsia="zh"/>
        </w:rPr>
        <w:t>6</w:t>
      </w:r>
      <w:r>
        <w:rPr>
          <w:rFonts w:hint="eastAsia" w:ascii="方正黑体_GBK" w:hAnsi="方正黑体_GBK" w:eastAsia="方正黑体_GBK" w:cs="方正黑体_GBK"/>
          <w:color w:val="auto"/>
          <w:highlight w:val="none"/>
          <w:lang w:val="en-US" w:eastAsia="zh-CN"/>
        </w:rPr>
        <w:t>年6月</w:t>
      </w:r>
    </w:p>
    <w:p>
      <w:pPr>
        <w:spacing w:line="560" w:lineRule="exact"/>
        <w:ind w:firstLine="0"/>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为加快推进应急管理体系和能力现代化建设，提升安全生产水平与防灾减灾救灾能力，根据《潮州市国民经济和社会发展第十五个五年规划纲要》，制定本规划。</w:t>
      </w:r>
    </w:p>
    <w:p>
      <w:pPr>
        <w:pStyle w:val="2"/>
        <w:bidi w:val="0"/>
        <w:rPr>
          <w:rFonts w:hint="eastAsia"/>
          <w:color w:val="auto"/>
          <w:highlight w:val="none"/>
          <w:lang w:val="en-US" w:eastAsia="zh-CN"/>
        </w:rPr>
      </w:pPr>
      <w:bookmarkStart w:id="0" w:name="_Toc15625"/>
      <w:bookmarkStart w:id="1" w:name="_Toc31912"/>
      <w:bookmarkStart w:id="2" w:name="_Toc15240"/>
      <w:bookmarkStart w:id="3" w:name="_Toc2715"/>
      <w:bookmarkStart w:id="4" w:name="_Toc29771"/>
      <w:bookmarkStart w:id="5" w:name="_Toc25950"/>
      <w:bookmarkStart w:id="6" w:name="_Toc25974"/>
      <w:bookmarkStart w:id="7" w:name="_Toc26383"/>
      <w:r>
        <w:rPr>
          <w:rFonts w:hint="eastAsia"/>
          <w:color w:val="auto"/>
          <w:highlight w:val="none"/>
          <w:lang w:val="en-US" w:eastAsia="zh-CN"/>
        </w:rPr>
        <w:t>第一章 总体要求</w:t>
      </w:r>
      <w:bookmarkEnd w:id="0"/>
      <w:bookmarkEnd w:id="1"/>
      <w:bookmarkEnd w:id="2"/>
      <w:bookmarkEnd w:id="3"/>
      <w:bookmarkEnd w:id="4"/>
      <w:bookmarkEnd w:id="5"/>
      <w:bookmarkEnd w:id="6"/>
      <w:bookmarkEnd w:id="7"/>
    </w:p>
    <w:p>
      <w:pPr>
        <w:pStyle w:val="3"/>
        <w:bidi w:val="0"/>
        <w:rPr>
          <w:rFonts w:hint="eastAsia" w:ascii="方正楷体_GBK" w:hAnsi="方正楷体_GBK" w:eastAsia="方正楷体_GBK" w:cs="方正楷体_GBK"/>
          <w:color w:val="auto"/>
          <w:highlight w:val="none"/>
          <w:lang w:val="en-US" w:eastAsia="zh-CN"/>
        </w:rPr>
      </w:pPr>
      <w:bookmarkStart w:id="8" w:name="_Toc27814"/>
      <w:bookmarkStart w:id="9" w:name="_Toc18254"/>
      <w:bookmarkStart w:id="10" w:name="_Toc13885"/>
      <w:bookmarkStart w:id="11" w:name="_Toc20494"/>
      <w:bookmarkStart w:id="12" w:name="_Toc18365"/>
      <w:bookmarkStart w:id="13" w:name="_Toc19779"/>
      <w:r>
        <w:rPr>
          <w:rFonts w:hint="eastAsia" w:ascii="方正楷体_GBK" w:hAnsi="方正楷体_GBK" w:eastAsia="方正楷体_GBK" w:cs="方正楷体_GBK"/>
          <w:color w:val="auto"/>
          <w:highlight w:val="none"/>
          <w:lang w:val="en-US" w:eastAsia="zh-CN"/>
        </w:rPr>
        <w:t>（一）指导思想</w:t>
      </w:r>
      <w:bookmarkEnd w:id="8"/>
      <w:bookmarkEnd w:id="9"/>
      <w:bookmarkEnd w:id="10"/>
      <w:bookmarkEnd w:id="11"/>
      <w:bookmarkEnd w:id="12"/>
      <w:bookmarkEnd w:id="13"/>
    </w:p>
    <w:p>
      <w:pPr>
        <w:spacing w:line="560" w:lineRule="exact"/>
        <w:ind w:firstLine="0"/>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坚持以习近平新时代中国特色社会主义思想为指导，全面贯彻落实党的二十大和二十届</w:t>
      </w:r>
      <w:r>
        <w:rPr>
          <w:rFonts w:hint="eastAsia" w:ascii="方正仿宋_GBK" w:hAnsi="方正仿宋_GBK" w:eastAsia="方正仿宋_GBK" w:cs="方正仿宋_GBK"/>
          <w:color w:val="auto"/>
          <w:highlight w:val="none"/>
          <w:lang w:val="en-US" w:eastAsia="zh"/>
        </w:rPr>
        <w:t>历次</w:t>
      </w:r>
      <w:r>
        <w:rPr>
          <w:rFonts w:hint="eastAsia" w:ascii="方正仿宋_GBK" w:hAnsi="方正仿宋_GBK" w:eastAsia="方正仿宋_GBK" w:cs="方正仿宋_GBK"/>
          <w:color w:val="auto"/>
          <w:highlight w:val="none"/>
          <w:lang w:val="en-US" w:eastAsia="zh-CN"/>
        </w:rPr>
        <w:t>全会精神，坚持人民至上、生命至上，以推进应急管理治理模式向事前预防转型为主线，以强化风险防控、深化安全治理、夯实基层基础、强化科技应用、提升救援能力、完善社会共治为主攻方向，坚决防范遏制重特大生产安全事故，最大限度降低自然灾害损失，为潮州推进社会主义现代化建设提供坚实安全保障。</w:t>
      </w:r>
    </w:p>
    <w:p>
      <w:pPr>
        <w:pStyle w:val="3"/>
        <w:bidi w:val="0"/>
        <w:rPr>
          <w:rFonts w:hint="eastAsia" w:ascii="方正楷体_GBK" w:hAnsi="方正楷体_GBK" w:eastAsia="方正楷体_GBK" w:cs="方正楷体_GBK"/>
          <w:color w:val="auto"/>
          <w:highlight w:val="none"/>
          <w:lang w:val="en-US" w:eastAsia="zh-CN"/>
        </w:rPr>
      </w:pPr>
      <w:bookmarkStart w:id="14" w:name="_Toc6643"/>
      <w:bookmarkStart w:id="15" w:name="_Toc29958"/>
      <w:bookmarkStart w:id="16" w:name="_Toc12559"/>
      <w:bookmarkStart w:id="17" w:name="_Toc28319"/>
      <w:bookmarkStart w:id="18" w:name="_Toc21262"/>
      <w:bookmarkStart w:id="19" w:name="_Toc12341"/>
      <w:r>
        <w:rPr>
          <w:rFonts w:hint="eastAsia" w:ascii="方正楷体_GBK" w:hAnsi="方正楷体_GBK" w:eastAsia="方正楷体_GBK" w:cs="方正楷体_GBK"/>
          <w:color w:val="auto"/>
          <w:highlight w:val="none"/>
          <w:lang w:val="en-US" w:eastAsia="zh-CN"/>
        </w:rPr>
        <w:t>（二）发展目标</w:t>
      </w:r>
      <w:bookmarkEnd w:id="14"/>
      <w:bookmarkEnd w:id="15"/>
      <w:bookmarkEnd w:id="16"/>
      <w:bookmarkEnd w:id="17"/>
      <w:bookmarkEnd w:id="18"/>
      <w:bookmarkEnd w:id="19"/>
    </w:p>
    <w:p>
      <w:pPr>
        <w:spacing w:line="560" w:lineRule="exact"/>
        <w:ind w:firstLine="0"/>
        <w:rPr>
          <w:rFonts w:hint="eastAsia" w:ascii="方正仿宋_GBK" w:hAnsi="方正仿宋_GBK" w:eastAsia="方正仿宋_GBK" w:cs="方正仿宋_GBK"/>
          <w:color w:val="auto"/>
          <w:highlight w:val="none"/>
          <w:lang w:val="en-US" w:eastAsia="zh-CN"/>
        </w:rPr>
      </w:pPr>
      <w:r>
        <w:rPr>
          <w:rFonts w:hint="eastAsia" w:ascii="方正仿宋_GBK" w:hAnsi="方正仿宋_GBK" w:eastAsia="方正仿宋_GBK" w:cs="方正仿宋_GBK"/>
          <w:color w:val="auto"/>
          <w:highlight w:val="none"/>
          <w:lang w:val="en-US" w:eastAsia="zh-CN"/>
        </w:rPr>
        <w:t>总体目标：到2030年，大安全大应急框架下的应急指挥机制更加健全，以事前风险防范化解为主的安全治理模式不断优化，应急管理法治化、智能化</w:t>
      </w:r>
      <w:r>
        <w:rPr>
          <w:rFonts w:hint="eastAsia" w:ascii="方正仿宋_GBK" w:hAnsi="方正仿宋_GBK" w:eastAsia="方正仿宋_GBK" w:cs="方正仿宋_GBK"/>
          <w:color w:val="auto"/>
          <w:highlight w:val="none"/>
          <w:lang w:val="en-US" w:eastAsia="zh"/>
        </w:rPr>
        <w:t>、标准化建设迈上新台阶，</w:t>
      </w:r>
      <w:r>
        <w:rPr>
          <w:rFonts w:hint="eastAsia" w:ascii="方正仿宋_GBK" w:hAnsi="方正仿宋_GBK" w:eastAsia="方正仿宋_GBK" w:cs="方正仿宋_GBK"/>
          <w:color w:val="auto"/>
          <w:highlight w:val="none"/>
          <w:lang w:val="en-US" w:eastAsia="zh-CN"/>
        </w:rPr>
        <w:t>安全生产、防灾减灾救灾形势持续稳定</w:t>
      </w:r>
      <w:r>
        <w:rPr>
          <w:rFonts w:hint="eastAsia" w:ascii="方正仿宋_GBK" w:hAnsi="方正仿宋_GBK" w:eastAsia="方正仿宋_GBK" w:cs="方正仿宋_GBK"/>
          <w:color w:val="auto"/>
          <w:highlight w:val="none"/>
          <w:lang w:val="en-US" w:eastAsia="zh"/>
        </w:rPr>
        <w:t>向好</w:t>
      </w:r>
      <w:r>
        <w:rPr>
          <w:rFonts w:hint="eastAsia" w:ascii="方正仿宋_GBK" w:hAnsi="方正仿宋_GBK" w:eastAsia="方正仿宋_GBK" w:cs="方正仿宋_GBK"/>
          <w:color w:val="auto"/>
          <w:highlight w:val="none"/>
          <w:lang w:val="en-US" w:eastAsia="zh-CN"/>
        </w:rPr>
        <w:t>，应急救援保障能力显著提升，基层应急管理水平全面提升；初步建成统一指挥、专常兼备、反应灵敏、精准高效的</w:t>
      </w:r>
      <w:r>
        <w:rPr>
          <w:rFonts w:hint="eastAsia" w:ascii="方正仿宋_GBK" w:hAnsi="方正仿宋_GBK" w:eastAsia="方正仿宋_GBK" w:cs="方正仿宋_GBK"/>
          <w:color w:val="auto"/>
          <w:highlight w:val="none"/>
          <w:lang w:val="en-US" w:eastAsia="zh"/>
        </w:rPr>
        <w:t>现代化</w:t>
      </w:r>
      <w:r>
        <w:rPr>
          <w:rFonts w:hint="eastAsia" w:ascii="方正仿宋_GBK" w:hAnsi="方正仿宋_GBK" w:eastAsia="方正仿宋_GBK" w:cs="方正仿宋_GBK"/>
          <w:color w:val="auto"/>
          <w:highlight w:val="none"/>
          <w:lang w:val="en-US" w:eastAsia="zh-CN"/>
        </w:rPr>
        <w:t>应急管理体系，有力护航</w:t>
      </w:r>
      <w:r>
        <w:rPr>
          <w:rFonts w:hint="eastAsia" w:ascii="方正仿宋_GBK" w:hAnsi="方正仿宋_GBK" w:eastAsia="方正仿宋_GBK" w:cs="方正仿宋_GBK"/>
          <w:color w:val="auto"/>
          <w:highlight w:val="none"/>
          <w:lang w:val="en-US" w:eastAsia="zh"/>
        </w:rPr>
        <w:t>全市经济社会</w:t>
      </w:r>
      <w:r>
        <w:rPr>
          <w:rFonts w:hint="eastAsia" w:ascii="方正仿宋_GBK" w:hAnsi="方正仿宋_GBK" w:eastAsia="方正仿宋_GBK" w:cs="方正仿宋_GBK"/>
          <w:color w:val="auto"/>
          <w:highlight w:val="none"/>
          <w:lang w:val="en-US" w:eastAsia="zh-CN"/>
        </w:rPr>
        <w:t>高质量发展。</w:t>
      </w:r>
    </w:p>
    <w:p>
      <w:pPr>
        <w:snapToGrid w:val="0"/>
        <w:spacing w:line="560" w:lineRule="exact"/>
        <w:ind w:firstLine="640" w:firstLineChars="200"/>
        <w:rPr>
          <w:rFonts w:hint="eastAsia" w:ascii="仿宋" w:hAnsi="仿宋" w:eastAsia="仿宋" w:cs="仿宋"/>
          <w:b w:val="0"/>
          <w:bCs/>
          <w:color w:val="auto"/>
          <w:sz w:val="32"/>
          <w:szCs w:val="32"/>
          <w:highlight w:val="none"/>
        </w:rPr>
      </w:pPr>
    </w:p>
    <w:p>
      <w:pPr>
        <w:spacing w:line="560" w:lineRule="exact"/>
        <w:ind w:left="0" w:leftChars="0" w:firstLine="0" w:firstLineChars="0"/>
        <w:rPr>
          <w:rFonts w:hint="eastAsia" w:ascii="Times New Roman" w:hAnsi="Times New Roman"/>
          <w:b w:val="0"/>
          <w:bCs/>
          <w:color w:val="auto"/>
          <w:szCs w:val="32"/>
          <w:highlight w:val="none"/>
          <w:lang w:val="en-US" w:eastAsia="zh-CN"/>
        </w:rPr>
      </w:pPr>
      <w:bookmarkStart w:id="470" w:name="_GoBack"/>
      <w:bookmarkEnd w:id="470"/>
      <w:bookmarkStart w:id="20" w:name="_Toc26037"/>
      <w:bookmarkStart w:id="21" w:name="_Toc10400"/>
      <w:bookmarkStart w:id="22" w:name="_Toc32200"/>
      <w:bookmarkStart w:id="23" w:name="_Toc24264"/>
      <w:bookmarkStart w:id="24" w:name="_Toc10984"/>
    </w:p>
    <w:p>
      <w:pPr>
        <w:spacing w:line="560" w:lineRule="exact"/>
        <w:ind w:left="0" w:leftChars="0" w:firstLine="0" w:firstLineChars="0"/>
        <w:jc w:val="center"/>
        <w:rPr>
          <w:rFonts w:hint="eastAsia" w:ascii="方正黑体_GBK" w:hAnsi="方正黑体_GBK" w:eastAsia="方正黑体_GBK" w:cs="方正黑体_GBK"/>
          <w:b w:val="0"/>
          <w:bCs/>
          <w:color w:val="auto"/>
          <w:szCs w:val="32"/>
          <w:highlight w:val="none"/>
          <w:lang w:val="en-US" w:eastAsia="zh"/>
        </w:rPr>
      </w:pPr>
      <w:r>
        <w:rPr>
          <w:rFonts w:hint="eastAsia" w:ascii="方正黑体_GBK" w:hAnsi="方正黑体_GBK" w:eastAsia="方正黑体_GBK" w:cs="方正黑体_GBK"/>
          <w:b w:val="0"/>
          <w:bCs/>
          <w:color w:val="auto"/>
          <w:szCs w:val="32"/>
          <w:highlight w:val="none"/>
          <w:lang w:val="en-US" w:eastAsia="zh-CN"/>
        </w:rPr>
        <w:t xml:space="preserve">第二章 </w:t>
      </w:r>
      <w:r>
        <w:rPr>
          <w:rFonts w:hint="eastAsia" w:ascii="方正黑体_GBK" w:hAnsi="方正黑体_GBK" w:eastAsia="方正黑体_GBK" w:cs="方正黑体_GBK"/>
          <w:b w:val="0"/>
          <w:bCs/>
          <w:color w:val="auto"/>
          <w:szCs w:val="32"/>
          <w:highlight w:val="none"/>
          <w:lang w:val="en-US" w:eastAsia="zh"/>
        </w:rPr>
        <w:t>主要任务</w:t>
      </w:r>
      <w:bookmarkEnd w:id="20"/>
      <w:bookmarkEnd w:id="21"/>
      <w:bookmarkEnd w:id="22"/>
      <w:bookmarkEnd w:id="23"/>
      <w:bookmarkEnd w:id="24"/>
    </w:p>
    <w:p>
      <w:pPr>
        <w:pStyle w:val="3"/>
        <w:bidi w:val="0"/>
        <w:rPr>
          <w:rFonts w:hint="eastAsia" w:ascii="方正楷体_GBK" w:hAnsi="方正楷体_GBK" w:eastAsia="方正楷体_GBK" w:cs="方正楷体_GBK"/>
          <w:color w:val="auto"/>
          <w:highlight w:val="none"/>
          <w:lang w:val="en-US" w:eastAsia="zh-CN"/>
        </w:rPr>
      </w:pPr>
      <w:bookmarkStart w:id="25" w:name="_Toc22631"/>
      <w:bookmarkStart w:id="26" w:name="_Toc27124"/>
      <w:bookmarkStart w:id="27" w:name="_Toc8879"/>
      <w:bookmarkStart w:id="28" w:name="_Toc22305"/>
      <w:bookmarkStart w:id="29" w:name="_Toc16887"/>
      <w:bookmarkStart w:id="30" w:name="_Toc16498"/>
      <w:r>
        <w:rPr>
          <w:rFonts w:hint="eastAsia" w:ascii="方正楷体_GBK" w:hAnsi="方正楷体_GBK" w:eastAsia="方正楷体_GBK" w:cs="方正楷体_GBK"/>
          <w:color w:val="auto"/>
          <w:highlight w:val="none"/>
          <w:lang w:val="en-US" w:eastAsia="zh-CN"/>
        </w:rPr>
        <w:t>（一）健全组织指挥体系</w:t>
      </w:r>
      <w:bookmarkEnd w:id="25"/>
      <w:bookmarkEnd w:id="26"/>
      <w:bookmarkEnd w:id="27"/>
      <w:bookmarkEnd w:id="28"/>
      <w:bookmarkEnd w:id="29"/>
      <w:bookmarkEnd w:id="30"/>
    </w:p>
    <w:p>
      <w:pPr>
        <w:snapToGrid w:val="0"/>
        <w:spacing w:line="560" w:lineRule="exact"/>
        <w:ind w:firstLine="643" w:firstLineChars="200"/>
        <w:rPr>
          <w:rFonts w:hint="eastAsia" w:ascii="方正仿宋_GBK" w:hAnsi="方正仿宋_GBK" w:eastAsia="方正仿宋_GBK" w:cs="方正仿宋_GBK"/>
          <w:lang w:eastAsia="zh-CN"/>
        </w:rPr>
      </w:pPr>
      <w:bookmarkStart w:id="31" w:name="_Toc21032"/>
      <w:bookmarkStart w:id="32" w:name="_Toc18405"/>
      <w:bookmarkStart w:id="33" w:name="_Toc29368"/>
      <w:bookmarkStart w:id="34" w:name="_Toc3586"/>
      <w:bookmarkStart w:id="35" w:name="_Toc1309"/>
      <w:bookmarkStart w:id="36" w:name="_Toc2969"/>
      <w:bookmarkStart w:id="37" w:name="_Toc630785196"/>
      <w:bookmarkStart w:id="38" w:name="_Toc573699121"/>
      <w:bookmarkStart w:id="39" w:name="_Toc662603787"/>
      <w:bookmarkStart w:id="40" w:name="_Toc33071736"/>
      <w:bookmarkStart w:id="41" w:name="_Toc652533733"/>
      <w:bookmarkStart w:id="42" w:name="_Toc28090"/>
      <w:bookmarkStart w:id="43" w:name="_Toc1101556800"/>
      <w:bookmarkStart w:id="44" w:name="_Toc15438"/>
      <w:bookmarkStart w:id="45" w:name="_Toc1155782923"/>
      <w:bookmarkStart w:id="46" w:name="_Toc1284337115"/>
      <w:bookmarkStart w:id="47" w:name="_Toc528664424"/>
      <w:bookmarkStart w:id="48" w:name="_Toc508683406"/>
      <w:bookmarkStart w:id="49" w:name="_Toc1343576683"/>
      <w:bookmarkStart w:id="50" w:name="_Toc1763101216"/>
      <w:r>
        <w:rPr>
          <w:rFonts w:hint="eastAsia" w:ascii="方正仿宋_GBK" w:hAnsi="方正仿宋_GBK" w:eastAsia="方正仿宋_GBK" w:cs="方正仿宋_GBK"/>
          <w:b/>
          <w:bCs/>
          <w:lang w:val="en-US" w:eastAsia="zh-CN"/>
        </w:rPr>
        <w:t>优化</w:t>
      </w:r>
      <w:r>
        <w:rPr>
          <w:rFonts w:hint="eastAsia" w:ascii="方正仿宋_GBK" w:hAnsi="方正仿宋_GBK" w:eastAsia="方正仿宋_GBK" w:cs="方正仿宋_GBK"/>
          <w:b/>
          <w:bCs/>
          <w:lang w:val="en-US" w:eastAsia="zh"/>
        </w:rPr>
        <w:t>应急组织</w:t>
      </w:r>
      <w:bookmarkEnd w:id="31"/>
      <w:bookmarkEnd w:id="32"/>
      <w:bookmarkEnd w:id="33"/>
      <w:bookmarkEnd w:id="34"/>
      <w:bookmarkEnd w:id="35"/>
      <w:bookmarkEnd w:id="36"/>
      <w:r>
        <w:rPr>
          <w:rFonts w:hint="eastAsia" w:ascii="方正仿宋_GBK" w:hAnsi="方正仿宋_GBK" w:eastAsia="方正仿宋_GBK" w:cs="方正仿宋_GBK"/>
          <w:b/>
          <w:bCs/>
          <w:lang w:val="en-US" w:eastAsia="zh-CN"/>
        </w:rPr>
        <w:t>管理。</w:t>
      </w:r>
      <w:r>
        <w:rPr>
          <w:rFonts w:hint="eastAsia" w:ascii="方正仿宋_GBK" w:hAnsi="方正仿宋_GBK" w:eastAsia="方正仿宋_GBK" w:cs="方正仿宋_GBK"/>
          <w:b w:val="0"/>
          <w:bCs w:val="0"/>
          <w:lang w:val="en-US" w:eastAsia="zh-CN"/>
        </w:rPr>
        <w:t>健全市应急委及其办公室统筹机制，优化“三委三部”运行规则。深化跨部门协作和跨区域协同，完善跨部门、跨区域救援力量、物资、技术支援机制，深化国家综合性消防救援队伍与专业救援队伍、社会应急力量共训共练和救援合作机制。健全自然灾害防治与安全生产监管责任体系，优化督查检查、调查评估及隐患整改闭环管理机制。</w:t>
      </w:r>
    </w:p>
    <w:p>
      <w:pPr>
        <w:spacing w:line="560" w:lineRule="exact"/>
        <w:ind w:firstLine="0"/>
        <w:rPr>
          <w:rFonts w:hint="eastAsia" w:ascii="方正仿宋_GBK" w:hAnsi="方正仿宋_GBK" w:eastAsia="方正仿宋_GBK" w:cs="方正仿宋_GBK"/>
          <w:b/>
          <w:bCs/>
          <w:lang w:val="en-US" w:eastAsia="zh-CN"/>
        </w:rPr>
      </w:pPr>
      <w:bookmarkStart w:id="51" w:name="_Toc10325"/>
      <w:bookmarkStart w:id="52" w:name="_Toc22312"/>
      <w:r>
        <w:rPr>
          <w:rFonts w:hint="eastAsia" w:ascii="方正仿宋_GBK" w:hAnsi="方正仿宋_GBK" w:eastAsia="方正仿宋_GBK" w:cs="方正仿宋_GBK"/>
          <w:b/>
          <w:bCs/>
          <w:lang w:val="en-US" w:eastAsia="zh"/>
        </w:rPr>
        <w:t>建强各级应急指挥部</w:t>
      </w:r>
      <w:bookmarkEnd w:id="51"/>
      <w:bookmarkEnd w:id="52"/>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b w:val="0"/>
          <w:bCs w:val="0"/>
          <w:lang w:val="en-US" w:eastAsia="zh-CN"/>
        </w:rPr>
        <w:t>规范各类突发事件应急指挥流程，修订完善各级应急指挥部工作规则，推进市、县（区）应急指挥部及镇（街道）指挥中心标准化建设，提升应急指挥部和现场指挥部硬件装备水平。升级应急指挥与值守硬件设施，满足全天候应急指挥保障需求。</w:t>
      </w:r>
    </w:p>
    <w:bookmarkEnd w:id="37"/>
    <w:bookmarkEnd w:id="38"/>
    <w:bookmarkEnd w:id="39"/>
    <w:bookmarkEnd w:id="40"/>
    <w:bookmarkEnd w:id="41"/>
    <w:bookmarkEnd w:id="42"/>
    <w:bookmarkEnd w:id="43"/>
    <w:bookmarkEnd w:id="44"/>
    <w:bookmarkEnd w:id="45"/>
    <w:bookmarkEnd w:id="46"/>
    <w:bookmarkEnd w:id="47"/>
    <w:bookmarkEnd w:id="48"/>
    <w:bookmarkEnd w:id="49"/>
    <w:bookmarkEnd w:id="50"/>
    <w:p>
      <w:pPr>
        <w:overflowPunct/>
        <w:snapToGrid w:val="0"/>
        <w:spacing w:line="560" w:lineRule="exact"/>
        <w:ind w:firstLine="643" w:firstLineChars="200"/>
        <w:rPr>
          <w:rFonts w:hint="eastAsia" w:ascii="方正仿宋_GBK" w:hAnsi="方正仿宋_GBK" w:eastAsia="方正仿宋_GBK" w:cs="方正仿宋_GBK"/>
          <w:lang w:val="en-US" w:eastAsia="zh"/>
        </w:rPr>
      </w:pPr>
      <w:bookmarkStart w:id="53" w:name="_Toc1085375626"/>
      <w:bookmarkStart w:id="54" w:name="_Toc16021"/>
      <w:bookmarkStart w:id="55" w:name="_Toc1138114311"/>
      <w:bookmarkStart w:id="56" w:name="_Toc1861797039"/>
      <w:bookmarkStart w:id="57" w:name="_Toc22168"/>
      <w:bookmarkStart w:id="58" w:name="_Toc5038"/>
      <w:bookmarkStart w:id="59" w:name="_Toc31507"/>
      <w:bookmarkStart w:id="60" w:name="_Toc12790"/>
      <w:bookmarkStart w:id="61" w:name="_Toc18055"/>
      <w:bookmarkStart w:id="62" w:name="_Toc3928"/>
      <w:r>
        <w:rPr>
          <w:rFonts w:hint="eastAsia" w:ascii="方正仿宋_GBK" w:hAnsi="方正仿宋_GBK" w:eastAsia="方正仿宋_GBK" w:cs="方正仿宋_GBK"/>
          <w:b/>
          <w:bCs/>
          <w:lang w:val="en-US" w:eastAsia="zh-CN"/>
        </w:rPr>
        <w:t>提升应急指挥效能</w:t>
      </w:r>
      <w:bookmarkEnd w:id="53"/>
      <w:bookmarkEnd w:id="54"/>
      <w:bookmarkEnd w:id="55"/>
      <w:bookmarkEnd w:id="56"/>
      <w:bookmarkEnd w:id="57"/>
      <w:bookmarkEnd w:id="58"/>
      <w:bookmarkEnd w:id="59"/>
      <w:bookmarkEnd w:id="60"/>
      <w:bookmarkEnd w:id="61"/>
      <w:bookmarkEnd w:id="62"/>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b w:val="0"/>
          <w:bCs w:val="0"/>
          <w:lang w:val="en-US" w:eastAsia="zh-CN"/>
        </w:rPr>
        <w:t>加强市应急指挥平台建设，健全数据共享和系统互联互通体系，持续开展应急管理领域数据治理与融合，完善应急指挥“一张图”。探索部署人工智能、数字孪生等信息技术应用，推动业务智能化发展。严格落实信息报送制度，规范信息接报、处置流程，提高值班值守专业化水平。</w:t>
      </w:r>
    </w:p>
    <w:p>
      <w:pPr>
        <w:pStyle w:val="3"/>
        <w:bidi w:val="0"/>
        <w:rPr>
          <w:rFonts w:hint="eastAsia" w:ascii="方正楷体_GBK" w:hAnsi="方正楷体_GBK" w:eastAsia="方正楷体_GBK" w:cs="方正楷体_GBK"/>
          <w:color w:val="auto"/>
          <w:highlight w:val="none"/>
          <w:lang w:val="en-US" w:eastAsia="zh-CN"/>
        </w:rPr>
      </w:pPr>
      <w:bookmarkStart w:id="63" w:name="_Toc1113"/>
      <w:bookmarkStart w:id="64" w:name="_Toc26099"/>
      <w:bookmarkStart w:id="65" w:name="_Toc5686"/>
      <w:bookmarkStart w:id="66" w:name="_Toc28536"/>
      <w:bookmarkStart w:id="67" w:name="_Toc9314"/>
      <w:bookmarkStart w:id="68" w:name="_Toc25502"/>
      <w:r>
        <w:rPr>
          <w:rFonts w:hint="eastAsia" w:ascii="方正楷体_GBK" w:hAnsi="方正楷体_GBK" w:eastAsia="方正楷体_GBK" w:cs="方正楷体_GBK"/>
          <w:color w:val="auto"/>
          <w:highlight w:val="none"/>
          <w:lang w:val="en-US" w:eastAsia="zh-CN"/>
        </w:rPr>
        <w:t>（二）健全法规预案体系</w:t>
      </w:r>
      <w:bookmarkEnd w:id="63"/>
      <w:bookmarkEnd w:id="64"/>
      <w:bookmarkEnd w:id="65"/>
      <w:bookmarkEnd w:id="66"/>
      <w:bookmarkEnd w:id="67"/>
      <w:bookmarkEnd w:id="68"/>
    </w:p>
    <w:p>
      <w:pPr>
        <w:keepNext w:val="0"/>
        <w:keepLines w:val="0"/>
        <w:pageBreakBefore w:val="0"/>
        <w:widowControl/>
        <w:kinsoku/>
        <w:wordWrap/>
        <w:topLinePunct w:val="0"/>
        <w:autoSpaceDE/>
        <w:autoSpaceDN/>
        <w:bidi w:val="0"/>
        <w:adjustRightInd w:val="0"/>
        <w:snapToGrid w:val="0"/>
        <w:ind w:firstLineChars="200"/>
        <w:textAlignment w:val="auto"/>
        <w:rPr>
          <w:rFonts w:hint="eastAsia" w:ascii="方正仿宋_GBK" w:hAnsi="方正仿宋_GBK" w:eastAsia="方正仿宋_GBK" w:cs="方正仿宋_GBK"/>
          <w:b/>
          <w:bCs/>
          <w:lang w:val="en-US" w:eastAsia="zh-CN"/>
        </w:rPr>
      </w:pPr>
      <w:bookmarkStart w:id="69" w:name="_Toc1627550329"/>
      <w:bookmarkStart w:id="70" w:name="_Toc22872"/>
      <w:bookmarkStart w:id="71" w:name="_Toc469275084"/>
      <w:bookmarkStart w:id="72" w:name="_Toc104529283"/>
      <w:bookmarkStart w:id="73" w:name="_Toc186515528"/>
      <w:bookmarkStart w:id="74" w:name="_Toc13911"/>
      <w:bookmarkStart w:id="75" w:name="_Toc32704"/>
      <w:bookmarkStart w:id="76" w:name="_Toc15742"/>
      <w:bookmarkStart w:id="77" w:name="_Toc1404373689"/>
      <w:bookmarkStart w:id="78" w:name="_Toc13619"/>
      <w:bookmarkStart w:id="79" w:name="_Toc30596"/>
      <w:bookmarkStart w:id="80" w:name="_Toc1874130812"/>
      <w:bookmarkStart w:id="81" w:name="_Toc2006890889"/>
      <w:bookmarkStart w:id="82" w:name="_Toc1506617833"/>
      <w:bookmarkStart w:id="83" w:name="_Toc29510"/>
      <w:bookmarkStart w:id="84" w:name="_Toc1679577744"/>
      <w:bookmarkStart w:id="85" w:name="_Toc681122366"/>
      <w:bookmarkStart w:id="86" w:name="_Toc239060719"/>
      <w:bookmarkStart w:id="87" w:name="_Toc1192042121"/>
      <w:bookmarkStart w:id="88" w:name="_Toc6851"/>
      <w:r>
        <w:rPr>
          <w:rFonts w:hint="eastAsia" w:ascii="方正仿宋_GBK" w:hAnsi="方正仿宋_GBK" w:eastAsia="方正仿宋_GBK" w:cs="方正仿宋_GBK"/>
          <w:b/>
          <w:bCs/>
          <w:lang w:val="en-US" w:eastAsia="zh-CN"/>
        </w:rPr>
        <w:t>强化应急管理法治</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Fonts w:hint="eastAsia" w:ascii="方正仿宋_GBK" w:hAnsi="方正仿宋_GBK" w:eastAsia="方正仿宋_GBK" w:cs="方正仿宋_GBK"/>
          <w:b/>
          <w:bCs/>
          <w:lang w:val="en-US" w:eastAsia="zh-CN"/>
        </w:rPr>
        <w:t>保障</w:t>
      </w:r>
      <w:bookmarkEnd w:id="88"/>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eastAsia="zh"/>
        </w:rPr>
        <w:t>强化国家、省</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lang w:val="en-US" w:eastAsia="zh-CN"/>
        </w:rPr>
        <w:t>市政策制度衔接</w:t>
      </w:r>
      <w:r>
        <w:rPr>
          <w:rFonts w:hint="eastAsia" w:ascii="方正仿宋_GBK" w:hAnsi="方正仿宋_GBK" w:eastAsia="方正仿宋_GBK" w:cs="方正仿宋_GBK"/>
          <w:lang w:eastAsia="zh"/>
        </w:rPr>
        <w:t>，</w:t>
      </w:r>
      <w:r>
        <w:rPr>
          <w:rFonts w:hint="eastAsia" w:ascii="方正仿宋_GBK" w:hAnsi="方正仿宋_GBK" w:eastAsia="方正仿宋_GBK" w:cs="方正仿宋_GBK"/>
          <w:lang w:val="en-US" w:eastAsia="zh-CN"/>
        </w:rPr>
        <w:t>完善本地</w:t>
      </w:r>
      <w:r>
        <w:rPr>
          <w:rFonts w:hint="eastAsia" w:ascii="方正仿宋_GBK" w:hAnsi="方正仿宋_GBK" w:eastAsia="方正仿宋_GBK" w:cs="方正仿宋_GBK"/>
          <w:lang w:eastAsia="zh"/>
        </w:rPr>
        <w:t>配套</w:t>
      </w:r>
      <w:r>
        <w:rPr>
          <w:rFonts w:hint="eastAsia" w:ascii="方正仿宋_GBK" w:hAnsi="方正仿宋_GBK" w:eastAsia="方正仿宋_GBK" w:cs="方正仿宋_GBK"/>
          <w:lang w:val="en-US" w:eastAsia="zh-CN"/>
        </w:rPr>
        <w:t>政策</w:t>
      </w:r>
      <w:r>
        <w:rPr>
          <w:rFonts w:hint="eastAsia" w:ascii="方正仿宋_GBK" w:hAnsi="方正仿宋_GBK" w:eastAsia="方正仿宋_GBK" w:cs="方正仿宋_GBK"/>
          <w:lang w:eastAsia="zh"/>
        </w:rPr>
        <w:t>制度。强化法治宣传赋能，</w:t>
      </w:r>
      <w:r>
        <w:rPr>
          <w:rFonts w:hint="eastAsia" w:ascii="方正仿宋_GBK" w:hAnsi="方正仿宋_GBK" w:eastAsia="方正仿宋_GBK" w:cs="方正仿宋_GBK"/>
          <w:lang w:eastAsia="zh-CN"/>
        </w:rPr>
        <w:t>全面落实“谁执法谁普法”的普法责任制，深入开展群众性法治宣传教育</w:t>
      </w:r>
      <w:r>
        <w:rPr>
          <w:rFonts w:hint="eastAsia" w:ascii="方正仿宋_GBK" w:hAnsi="方正仿宋_GBK" w:eastAsia="方正仿宋_GBK" w:cs="方正仿宋_GBK"/>
          <w:lang w:eastAsia="zh"/>
        </w:rPr>
        <w:t>。</w:t>
      </w:r>
      <w:r>
        <w:rPr>
          <w:rFonts w:hint="eastAsia" w:ascii="方正仿宋_GBK" w:hAnsi="方正仿宋_GBK" w:eastAsia="方正仿宋_GBK" w:cs="方正仿宋_GBK"/>
          <w:lang w:val="en-US" w:eastAsia="zh"/>
        </w:rPr>
        <w:t>鼓励企业、团体组织积极参与相关标准和规范性文件制定。</w:t>
      </w:r>
      <w:bookmarkStart w:id="89" w:name="_Toc1379582494"/>
      <w:bookmarkStart w:id="90" w:name="_Toc6664"/>
      <w:bookmarkStart w:id="91" w:name="_Toc210164435"/>
      <w:bookmarkStart w:id="92" w:name="_Toc1964996143"/>
      <w:bookmarkStart w:id="93" w:name="_Toc203158384"/>
      <w:bookmarkStart w:id="94" w:name="_Toc265204252"/>
      <w:bookmarkStart w:id="95" w:name="_Toc16373"/>
      <w:bookmarkStart w:id="96" w:name="_Toc7957"/>
      <w:bookmarkStart w:id="97" w:name="_Toc591832160"/>
      <w:bookmarkStart w:id="98" w:name="_Toc1498"/>
      <w:bookmarkStart w:id="99" w:name="_Toc10701"/>
      <w:bookmarkStart w:id="100" w:name="_Toc7084"/>
      <w:bookmarkStart w:id="101" w:name="_Toc1570453072"/>
      <w:bookmarkStart w:id="102" w:name="_Toc1687739896"/>
      <w:bookmarkStart w:id="103" w:name="_Toc314929127"/>
      <w:bookmarkStart w:id="104" w:name="_Toc1178746407"/>
      <w:bookmarkStart w:id="105" w:name="_Toc1231145493"/>
      <w:bookmarkStart w:id="106" w:name="_Toc986565477"/>
      <w:bookmarkStart w:id="107" w:name="_Toc17623"/>
      <w:bookmarkStart w:id="108" w:name="_Toc5584"/>
    </w:p>
    <w:p>
      <w:pPr>
        <w:snapToGrid w:val="0"/>
        <w:spacing w:line="560" w:lineRule="exact"/>
        <w:ind w:firstLine="643" w:firstLineChars="200"/>
        <w:rPr>
          <w:rFonts w:hint="eastAsia" w:ascii="方正仿宋_GBK" w:hAnsi="方正仿宋_GBK" w:eastAsia="方正仿宋_GBK" w:cs="方正仿宋_GBK"/>
          <w:b w:val="0"/>
          <w:bCs/>
          <w:color w:val="auto"/>
          <w:szCs w:val="32"/>
          <w:highlight w:val="none"/>
          <w:lang w:val="en-US" w:eastAsia="zh-CN"/>
        </w:rPr>
      </w:pPr>
      <w:r>
        <w:rPr>
          <w:rFonts w:hint="eastAsia" w:ascii="方正仿宋_GBK" w:hAnsi="方正仿宋_GBK" w:eastAsia="方正仿宋_GBK" w:cs="方正仿宋_GBK"/>
          <w:b/>
          <w:bCs/>
          <w:lang w:val="en-US" w:eastAsia="zh-CN"/>
        </w:rPr>
        <w:t>强化应急预案动态管理</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color w:val="auto"/>
          <w:highlight w:val="none"/>
          <w:lang w:val="en-US" w:eastAsia="zh-CN"/>
        </w:rPr>
        <w:t>开展</w:t>
      </w:r>
      <w:r>
        <w:rPr>
          <w:rFonts w:hint="eastAsia" w:ascii="方正仿宋_GBK" w:hAnsi="方正仿宋_GBK" w:eastAsia="方正仿宋_GBK" w:cs="方正仿宋_GBK"/>
          <w:lang w:val="en-US" w:eastAsia="zh-CN"/>
        </w:rPr>
        <w:t>各级</w:t>
      </w:r>
      <w:r>
        <w:rPr>
          <w:rFonts w:hint="eastAsia" w:ascii="方正仿宋_GBK" w:hAnsi="方正仿宋_GBK" w:eastAsia="方正仿宋_GBK" w:cs="方正仿宋_GBK"/>
          <w:lang w:val="en-US" w:eastAsia="zh"/>
        </w:rPr>
        <w:t>突发事件</w:t>
      </w:r>
      <w:r>
        <w:rPr>
          <w:rFonts w:hint="eastAsia" w:ascii="方正仿宋_GBK" w:hAnsi="方正仿宋_GBK" w:eastAsia="方正仿宋_GBK" w:cs="方正仿宋_GBK"/>
          <w:lang w:val="en-US" w:eastAsia="zh-CN"/>
        </w:rPr>
        <w:t>总体</w:t>
      </w:r>
      <w:r>
        <w:rPr>
          <w:rFonts w:hint="eastAsia" w:ascii="方正仿宋_GBK" w:hAnsi="方正仿宋_GBK" w:eastAsia="方正仿宋_GBK" w:cs="方正仿宋_GBK"/>
          <w:lang w:val="en-US" w:eastAsia="zh"/>
        </w:rPr>
        <w:t>应急预案</w:t>
      </w:r>
      <w:r>
        <w:rPr>
          <w:rFonts w:hint="eastAsia" w:ascii="方正仿宋_GBK" w:hAnsi="方正仿宋_GBK" w:eastAsia="方正仿宋_GBK" w:cs="方正仿宋_GBK"/>
          <w:lang w:val="en-US" w:eastAsia="zh-CN"/>
        </w:rPr>
        <w:t>和专项应急预案制修订，探索制定强台风、强震等</w:t>
      </w:r>
      <w:r>
        <w:rPr>
          <w:rFonts w:hint="eastAsia" w:ascii="方正仿宋_GBK" w:hAnsi="方正仿宋_GBK" w:eastAsia="方正仿宋_GBK" w:cs="方正仿宋_GBK"/>
          <w:lang w:val="en-US" w:eastAsia="zh"/>
        </w:rPr>
        <w:t>巨灾应急预案</w:t>
      </w:r>
      <w:r>
        <w:rPr>
          <w:rFonts w:hint="eastAsia" w:ascii="方正仿宋_GBK" w:hAnsi="方正仿宋_GBK" w:eastAsia="方正仿宋_GBK" w:cs="方正仿宋_GBK"/>
          <w:lang w:val="en-US" w:eastAsia="zh-CN"/>
        </w:rPr>
        <w:t>，鼓励村社、</w:t>
      </w:r>
      <w:r>
        <w:rPr>
          <w:rFonts w:hint="eastAsia" w:ascii="方正仿宋_GBK" w:hAnsi="方正仿宋_GBK" w:eastAsia="方正仿宋_GBK" w:cs="方正仿宋_GBK"/>
          <w:lang w:val="en-US" w:eastAsia="zh"/>
        </w:rPr>
        <w:t>企事业单位</w:t>
      </w:r>
      <w:r>
        <w:rPr>
          <w:rFonts w:hint="eastAsia" w:ascii="方正仿宋_GBK" w:hAnsi="方正仿宋_GBK" w:eastAsia="方正仿宋_GBK" w:cs="方正仿宋_GBK"/>
          <w:lang w:val="en-US" w:eastAsia="zh-CN"/>
        </w:rPr>
        <w:t>、居民小区因地制宜制定火灾、地震等亟需</w:t>
      </w:r>
      <w:r>
        <w:rPr>
          <w:rFonts w:hint="eastAsia" w:ascii="方正仿宋_GBK" w:hAnsi="方正仿宋_GBK" w:eastAsia="方正仿宋_GBK" w:cs="方正仿宋_GBK"/>
          <w:lang w:val="en-US" w:eastAsia="zh"/>
        </w:rPr>
        <w:t>应急预案。</w:t>
      </w:r>
      <w:r>
        <w:rPr>
          <w:rFonts w:hint="eastAsia" w:ascii="方正仿宋_GBK" w:hAnsi="方正仿宋_GBK" w:eastAsia="方正仿宋_GBK" w:cs="方正仿宋_GBK"/>
          <w:lang w:val="en-US" w:eastAsia="zh-CN"/>
        </w:rPr>
        <w:t>动态更新完善乡镇（街道）防灾减灾“一图五表”和村（社区）“</w:t>
      </w:r>
      <w:r>
        <w:rPr>
          <w:rFonts w:hint="eastAsia" w:ascii="方正仿宋_GBK" w:hAnsi="方正仿宋_GBK" w:eastAsia="方正仿宋_GBK" w:cs="方正仿宋_GBK"/>
          <w:lang w:val="en-US" w:eastAsia="zh"/>
        </w:rPr>
        <w:t>一页纸</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
        </w:rPr>
        <w:t>应急预案</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
        </w:rPr>
        <w:t>提升基层</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
        </w:rPr>
        <w:t>镇自为战、村自为战</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
        </w:rPr>
        <w:t>能力。</w:t>
      </w:r>
      <w:r>
        <w:rPr>
          <w:rFonts w:hint="eastAsia" w:ascii="方正仿宋_GBK" w:hAnsi="方正仿宋_GBK" w:eastAsia="方正仿宋_GBK" w:cs="方正仿宋_GBK"/>
          <w:lang w:val="en-US" w:eastAsia="zh-CN"/>
        </w:rPr>
        <w:t>加强常态化应急演练、灾害事故复盘与预案评估，</w:t>
      </w:r>
      <w:r>
        <w:rPr>
          <w:rFonts w:hint="eastAsia" w:ascii="方正仿宋_GBK" w:hAnsi="方正仿宋_GBK" w:eastAsia="方正仿宋_GBK" w:cs="方正仿宋_GBK"/>
          <w:lang w:val="en-US" w:eastAsia="zh"/>
        </w:rPr>
        <w:t>及时修订完善应急预案</w:t>
      </w:r>
      <w:r>
        <w:rPr>
          <w:rFonts w:hint="eastAsia" w:ascii="方正仿宋_GBK" w:hAnsi="方正仿宋_GBK" w:eastAsia="方正仿宋_GBK" w:cs="方正仿宋_GBK"/>
          <w:lang w:val="en-US" w:eastAsia="zh-CN"/>
        </w:rPr>
        <w:t>。建立</w:t>
      </w:r>
      <w:r>
        <w:rPr>
          <w:rFonts w:hint="eastAsia" w:ascii="方正仿宋_GBK" w:hAnsi="方正仿宋_GBK" w:eastAsia="方正仿宋_GBK" w:cs="方正仿宋_GBK"/>
          <w:lang w:val="en-US" w:eastAsia="zh"/>
        </w:rPr>
        <w:t>应急预案数据库，</w:t>
      </w:r>
      <w:r>
        <w:rPr>
          <w:rFonts w:hint="eastAsia" w:ascii="方正仿宋_GBK" w:hAnsi="方正仿宋_GBK" w:eastAsia="方正仿宋_GBK" w:cs="方正仿宋_GBK"/>
          <w:lang w:val="en-US" w:eastAsia="zh-CN"/>
        </w:rPr>
        <w:t>强化预案智能化管理与应用。</w:t>
      </w:r>
    </w:p>
    <w:p>
      <w:pPr>
        <w:pStyle w:val="3"/>
        <w:bidi w:val="0"/>
        <w:rPr>
          <w:rFonts w:hint="eastAsia" w:ascii="方正楷体_GBK" w:hAnsi="方正楷体_GBK" w:eastAsia="方正楷体_GBK" w:cs="方正楷体_GBK"/>
          <w:color w:val="auto"/>
          <w:highlight w:val="none"/>
          <w:lang w:val="en-US" w:eastAsia="zh-CN"/>
        </w:rPr>
      </w:pPr>
      <w:bookmarkStart w:id="109" w:name="_Toc6285"/>
      <w:bookmarkStart w:id="110" w:name="_Toc2013"/>
      <w:bookmarkStart w:id="111" w:name="_Toc3640"/>
      <w:bookmarkStart w:id="112" w:name="_Toc10191"/>
      <w:bookmarkStart w:id="113" w:name="_Toc12669"/>
      <w:bookmarkStart w:id="114" w:name="_Toc29040"/>
      <w:r>
        <w:rPr>
          <w:rFonts w:hint="eastAsia" w:ascii="方正楷体_GBK" w:hAnsi="方正楷体_GBK" w:eastAsia="方正楷体_GBK" w:cs="方正楷体_GBK"/>
          <w:color w:val="auto"/>
          <w:highlight w:val="none"/>
          <w:lang w:val="en-US" w:eastAsia="zh-CN"/>
        </w:rPr>
        <w:t>（三）健全安全治理体系</w:t>
      </w:r>
      <w:bookmarkEnd w:id="109"/>
      <w:bookmarkEnd w:id="110"/>
      <w:bookmarkEnd w:id="111"/>
      <w:bookmarkEnd w:id="112"/>
      <w:bookmarkEnd w:id="113"/>
      <w:bookmarkEnd w:id="114"/>
    </w:p>
    <w:p>
      <w:pPr>
        <w:overflowPunct w:val="0"/>
        <w:snapToGrid w:val="0"/>
        <w:spacing w:line="560" w:lineRule="exact"/>
        <w:ind w:firstLine="643" w:firstLineChars="200"/>
        <w:rPr>
          <w:rFonts w:hint="eastAsia" w:ascii="方正仿宋_GBK" w:hAnsi="方正仿宋_GBK" w:eastAsia="方正仿宋_GBK" w:cs="方正仿宋_GBK"/>
          <w:b w:val="0"/>
          <w:bCs w:val="0"/>
          <w:color w:val="auto"/>
          <w:kern w:val="0"/>
          <w:sz w:val="32"/>
          <w:szCs w:val="22"/>
          <w:highlight w:val="none"/>
          <w:lang w:val="en-US" w:eastAsia="zh" w:bidi="ar"/>
        </w:rPr>
      </w:pPr>
      <w:bookmarkStart w:id="115" w:name="_Toc11938"/>
      <w:bookmarkStart w:id="116" w:name="_Toc20909"/>
      <w:bookmarkStart w:id="117" w:name="_Toc1222046435"/>
      <w:bookmarkStart w:id="118" w:name="_Toc1282411130"/>
      <w:bookmarkStart w:id="119" w:name="_Toc29596"/>
      <w:bookmarkStart w:id="120" w:name="_Toc1852768946"/>
      <w:r>
        <w:rPr>
          <w:rFonts w:hint="eastAsia" w:ascii="方正仿宋_GBK" w:hAnsi="方正仿宋_GBK" w:eastAsia="方正仿宋_GBK" w:cs="方正仿宋_GBK"/>
          <w:b/>
          <w:bCs/>
          <w:color w:val="auto"/>
          <w:highlight w:val="none"/>
          <w:lang w:val="en-US" w:eastAsia="zh-CN"/>
        </w:rPr>
        <w:t>压实安全生产责任</w:t>
      </w:r>
      <w:bookmarkEnd w:id="115"/>
      <w:bookmarkEnd w:id="116"/>
      <w:r>
        <w:rPr>
          <w:rFonts w:hint="eastAsia" w:ascii="方正仿宋_GBK" w:hAnsi="方正仿宋_GBK" w:eastAsia="方正仿宋_GBK" w:cs="方正仿宋_GBK"/>
          <w:b/>
          <w:bCs/>
          <w:color w:val="auto"/>
          <w:highlight w:val="none"/>
          <w:lang w:val="en-US" w:eastAsia="zh-CN"/>
        </w:rPr>
        <w:t>。</w:t>
      </w:r>
      <w:r>
        <w:rPr>
          <w:rFonts w:hint="eastAsia" w:ascii="方正仿宋_GBK" w:hAnsi="方正仿宋_GBK" w:eastAsia="方正仿宋_GBK" w:cs="方正仿宋_GBK"/>
          <w:b w:val="0"/>
          <w:bCs w:val="0"/>
          <w:color w:val="auto"/>
          <w:kern w:val="0"/>
          <w:sz w:val="32"/>
          <w:szCs w:val="22"/>
          <w:highlight w:val="none"/>
          <w:lang w:val="en-US" w:eastAsia="zh" w:bidi="ar"/>
        </w:rPr>
        <w:t>健全</w:t>
      </w:r>
      <w:r>
        <w:rPr>
          <w:rFonts w:hint="eastAsia" w:ascii="方正仿宋_GBK" w:hAnsi="方正仿宋_GBK" w:eastAsia="方正仿宋_GBK" w:cs="方正仿宋_GBK"/>
          <w:b w:val="0"/>
          <w:bCs w:val="0"/>
          <w:color w:val="auto"/>
          <w:kern w:val="0"/>
          <w:sz w:val="32"/>
          <w:szCs w:val="22"/>
          <w:highlight w:val="none"/>
          <w:lang w:val="en-US" w:eastAsia="zh-CN" w:bidi="ar"/>
        </w:rPr>
        <w:t>“</w:t>
      </w:r>
      <w:r>
        <w:rPr>
          <w:rFonts w:hint="eastAsia" w:ascii="方正仿宋_GBK" w:hAnsi="方正仿宋_GBK" w:eastAsia="方正仿宋_GBK" w:cs="方正仿宋_GBK"/>
          <w:b w:val="0"/>
          <w:bCs w:val="0"/>
          <w:color w:val="auto"/>
          <w:kern w:val="0"/>
          <w:sz w:val="32"/>
          <w:szCs w:val="22"/>
          <w:highlight w:val="none"/>
          <w:lang w:val="en-US" w:eastAsia="zh" w:bidi="ar"/>
        </w:rPr>
        <w:t>党政同责、一岗双责、齐抓共管、失职追责</w:t>
      </w:r>
      <w:r>
        <w:rPr>
          <w:rFonts w:hint="eastAsia" w:ascii="方正仿宋_GBK" w:hAnsi="方正仿宋_GBK" w:eastAsia="方正仿宋_GBK" w:cs="方正仿宋_GBK"/>
          <w:b w:val="0"/>
          <w:bCs w:val="0"/>
          <w:color w:val="auto"/>
          <w:kern w:val="0"/>
          <w:sz w:val="32"/>
          <w:szCs w:val="22"/>
          <w:highlight w:val="none"/>
          <w:lang w:val="en-US" w:eastAsia="zh-CN" w:bidi="ar"/>
        </w:rPr>
        <w:t>”</w:t>
      </w:r>
      <w:r>
        <w:rPr>
          <w:rFonts w:hint="eastAsia" w:ascii="方正仿宋_GBK" w:hAnsi="方正仿宋_GBK" w:eastAsia="方正仿宋_GBK" w:cs="方正仿宋_GBK"/>
          <w:b w:val="0"/>
          <w:bCs w:val="0"/>
          <w:color w:val="auto"/>
          <w:kern w:val="0"/>
          <w:sz w:val="32"/>
          <w:szCs w:val="22"/>
          <w:highlight w:val="none"/>
          <w:lang w:val="en-US" w:eastAsia="zh" w:bidi="ar"/>
        </w:rPr>
        <w:t>责任体系，细化</w:t>
      </w:r>
      <w:r>
        <w:rPr>
          <w:rFonts w:hint="eastAsia" w:ascii="方正仿宋_GBK" w:hAnsi="方正仿宋_GBK" w:eastAsia="方正仿宋_GBK" w:cs="方正仿宋_GBK"/>
          <w:b w:val="0"/>
          <w:bCs w:val="0"/>
          <w:color w:val="auto"/>
          <w:kern w:val="0"/>
          <w:sz w:val="32"/>
          <w:szCs w:val="22"/>
          <w:highlight w:val="none"/>
          <w:lang w:val="en-US" w:eastAsia="zh-CN" w:bidi="ar"/>
        </w:rPr>
        <w:t>各级</w:t>
      </w:r>
      <w:r>
        <w:rPr>
          <w:rFonts w:hint="eastAsia" w:ascii="方正仿宋_GBK" w:hAnsi="方正仿宋_GBK" w:eastAsia="方正仿宋_GBK" w:cs="方正仿宋_GBK"/>
          <w:b w:val="0"/>
          <w:bCs w:val="0"/>
          <w:color w:val="auto"/>
          <w:kern w:val="0"/>
          <w:sz w:val="32"/>
          <w:szCs w:val="22"/>
          <w:highlight w:val="none"/>
          <w:lang w:val="en-US" w:eastAsia="zh" w:bidi="ar"/>
        </w:rPr>
        <w:t>安全生产责任清单。健全</w:t>
      </w:r>
      <w:r>
        <w:rPr>
          <w:rFonts w:hint="eastAsia" w:ascii="方正仿宋_GBK" w:hAnsi="方正仿宋_GBK" w:eastAsia="方正仿宋_GBK" w:cs="方正仿宋_GBK"/>
          <w:caps w:val="0"/>
          <w:color w:val="auto"/>
          <w:highlight w:val="none"/>
          <w:lang w:val="en-US" w:eastAsia="zh-CN"/>
        </w:rPr>
        <w:t>新产业、新业态监管职责分工和</w:t>
      </w:r>
      <w:r>
        <w:rPr>
          <w:rFonts w:hint="eastAsia" w:ascii="方正仿宋_GBK" w:hAnsi="方正仿宋_GBK" w:eastAsia="方正仿宋_GBK" w:cs="方正仿宋_GBK"/>
          <w:b w:val="0"/>
          <w:bCs w:val="0"/>
          <w:color w:val="auto"/>
          <w:kern w:val="0"/>
          <w:sz w:val="32"/>
          <w:szCs w:val="22"/>
          <w:highlight w:val="none"/>
          <w:lang w:val="en-US" w:eastAsia="zh" w:bidi="ar"/>
        </w:rPr>
        <w:t>联合监管机制，厘清跨部门、跨领域安全生产监管边界</w:t>
      </w:r>
      <w:r>
        <w:rPr>
          <w:rFonts w:hint="eastAsia" w:ascii="方正仿宋_GBK" w:hAnsi="方正仿宋_GBK" w:eastAsia="方正仿宋_GBK" w:cs="方正仿宋_GBK"/>
          <w:caps w:val="0"/>
          <w:color w:val="auto"/>
          <w:highlight w:val="none"/>
          <w:lang w:val="en-US" w:eastAsia="zh-CN"/>
        </w:rPr>
        <w:t>。</w:t>
      </w:r>
      <w:r>
        <w:rPr>
          <w:rFonts w:hint="eastAsia" w:ascii="方正仿宋_GBK" w:hAnsi="方正仿宋_GBK" w:eastAsia="方正仿宋_GBK" w:cs="方正仿宋_GBK"/>
          <w:b w:val="0"/>
          <w:bCs w:val="0"/>
          <w:color w:val="auto"/>
          <w:kern w:val="0"/>
          <w:sz w:val="32"/>
          <w:szCs w:val="22"/>
          <w:highlight w:val="none"/>
          <w:lang w:val="en-US" w:eastAsia="zh-CN" w:bidi="ar"/>
        </w:rPr>
        <w:t>压实</w:t>
      </w:r>
      <w:r>
        <w:rPr>
          <w:rFonts w:hint="eastAsia" w:ascii="方正仿宋_GBK" w:hAnsi="方正仿宋_GBK" w:eastAsia="方正仿宋_GBK" w:cs="方正仿宋_GBK"/>
          <w:b w:val="0"/>
          <w:bCs w:val="0"/>
          <w:color w:val="auto"/>
          <w:kern w:val="0"/>
          <w:sz w:val="32"/>
          <w:szCs w:val="22"/>
          <w:highlight w:val="none"/>
          <w:lang w:val="en-US" w:eastAsia="zh" w:bidi="ar"/>
        </w:rPr>
        <w:t>企业安全生产主体责任，推动企业建立全员安全生产责任制。</w:t>
      </w:r>
    </w:p>
    <w:p>
      <w:pPr>
        <w:overflowPunct w:val="0"/>
        <w:bidi w:val="0"/>
        <w:snapToGrid w:val="0"/>
        <w:spacing w:line="560" w:lineRule="exact"/>
        <w:ind w:firstLine="0"/>
        <w:rPr>
          <w:rFonts w:hint="eastAsia" w:ascii="方正仿宋_GBK" w:hAnsi="方正仿宋_GBK" w:eastAsia="方正仿宋_GBK" w:cs="方正仿宋_GBK"/>
          <w:lang w:val="en-US" w:eastAsia="zh-CN"/>
        </w:rPr>
      </w:pPr>
      <w:bookmarkStart w:id="121" w:name="_Toc12888"/>
      <w:bookmarkStart w:id="122" w:name="_Toc20705"/>
      <w:bookmarkStart w:id="123" w:name="_Toc20887"/>
      <w:bookmarkStart w:id="124" w:name="_Toc19543"/>
      <w:bookmarkStart w:id="125" w:name="_Toc20346"/>
      <w:r>
        <w:rPr>
          <w:rFonts w:hint="eastAsia" w:ascii="方正仿宋_GBK" w:hAnsi="方正仿宋_GBK" w:eastAsia="方正仿宋_GBK" w:cs="方正仿宋_GBK"/>
          <w:b/>
          <w:bCs/>
          <w:lang w:val="en-US" w:eastAsia="zh"/>
        </w:rPr>
        <w:t>提升本质安全水平</w:t>
      </w:r>
      <w:bookmarkEnd w:id="121"/>
      <w:bookmarkEnd w:id="122"/>
      <w:bookmarkEnd w:id="123"/>
      <w:bookmarkEnd w:id="124"/>
      <w:bookmarkEnd w:id="125"/>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b w:val="0"/>
          <w:bCs w:val="0"/>
          <w:lang w:val="en-US" w:eastAsia="zh-CN"/>
        </w:rPr>
        <w:t>持续推进</w:t>
      </w:r>
      <w:r>
        <w:rPr>
          <w:rFonts w:hint="eastAsia" w:ascii="方正仿宋_GBK" w:hAnsi="方正仿宋_GBK" w:eastAsia="方正仿宋_GBK" w:cs="方正仿宋_GBK"/>
          <w:lang w:val="en-US" w:eastAsia="zh-CN"/>
        </w:rPr>
        <w:t>设备换新、机器换人、生产换线，分行业制定高风险设备淘汰清单，鼓励企业淘汰落后高危产能与不安全技术设备，强化非煤矿山“四化”建设。推进新材料产业园区建设，打造危险化学品生产智慧园区。建设市级安全生产考试点，强化高危作业和特种作业人员培训管理。推动</w:t>
      </w:r>
      <w:r>
        <w:rPr>
          <w:rFonts w:hint="eastAsia" w:ascii="方正仿宋_GBK" w:hAnsi="方正仿宋_GBK" w:eastAsia="方正仿宋_GBK" w:cs="方正仿宋_GBK"/>
          <w:lang w:val="en-US" w:eastAsia="zh"/>
        </w:rPr>
        <w:t>企业安全生产标准化</w:t>
      </w:r>
      <w:r>
        <w:rPr>
          <w:rFonts w:hint="eastAsia" w:ascii="方正仿宋_GBK" w:hAnsi="方正仿宋_GBK" w:eastAsia="方正仿宋_GBK" w:cs="方正仿宋_GBK"/>
          <w:lang w:val="en-US" w:eastAsia="zh-CN"/>
        </w:rPr>
        <w:t>建设</w:t>
      </w:r>
      <w:r>
        <w:rPr>
          <w:rFonts w:hint="eastAsia" w:ascii="方正仿宋_GBK" w:hAnsi="方正仿宋_GBK" w:eastAsia="方正仿宋_GBK" w:cs="方正仿宋_GBK"/>
          <w:lang w:val="en-US" w:eastAsia="zh"/>
        </w:rPr>
        <w:t>，完善</w:t>
      </w:r>
      <w:r>
        <w:rPr>
          <w:rFonts w:hint="eastAsia" w:ascii="方正仿宋_GBK" w:hAnsi="方正仿宋_GBK" w:eastAsia="方正仿宋_GBK" w:cs="方正仿宋_GBK"/>
          <w:lang w:val="en-US" w:eastAsia="zh-CN"/>
        </w:rPr>
        <w:t>企业</w:t>
      </w:r>
      <w:r>
        <w:rPr>
          <w:rFonts w:hint="eastAsia" w:ascii="方正仿宋_GBK" w:hAnsi="方正仿宋_GBK" w:eastAsia="方正仿宋_GBK" w:cs="方正仿宋_GBK"/>
          <w:lang w:val="en-US" w:eastAsia="zh"/>
        </w:rPr>
        <w:t>内部安全管理制度</w:t>
      </w:r>
      <w:r>
        <w:rPr>
          <w:rFonts w:hint="eastAsia" w:ascii="方正仿宋_GBK" w:hAnsi="方正仿宋_GBK" w:eastAsia="方正仿宋_GBK" w:cs="方正仿宋_GBK"/>
          <w:lang w:val="en-US" w:eastAsia="zh-CN"/>
        </w:rPr>
        <w:t>。</w:t>
      </w:r>
    </w:p>
    <w:p>
      <w:pPr>
        <w:bidi w:val="0"/>
        <w:spacing w:line="560" w:lineRule="exact"/>
        <w:ind w:firstLine="0"/>
        <w:rPr>
          <w:rFonts w:hint="eastAsia" w:ascii="方正仿宋_GBK" w:hAnsi="方正仿宋_GBK" w:eastAsia="方正仿宋_GBK" w:cs="方正仿宋_GBK"/>
          <w:lang w:val="en-US" w:eastAsia="zh"/>
        </w:rPr>
      </w:pPr>
      <w:bookmarkStart w:id="126" w:name="_Toc16284"/>
      <w:bookmarkStart w:id="127" w:name="_Toc23285"/>
      <w:r>
        <w:rPr>
          <w:rFonts w:hint="eastAsia" w:ascii="方正仿宋_GBK" w:hAnsi="方正仿宋_GBK" w:eastAsia="方正仿宋_GBK" w:cs="方正仿宋_GBK"/>
          <w:b/>
          <w:bCs/>
          <w:lang w:val="en-US" w:eastAsia="zh"/>
        </w:rPr>
        <w:t>加强风险监测预警</w:t>
      </w:r>
      <w:bookmarkEnd w:id="126"/>
      <w:bookmarkEnd w:id="127"/>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
        </w:rPr>
        <w:t>聚焦</w:t>
      </w:r>
      <w:r>
        <w:rPr>
          <w:rFonts w:hint="eastAsia" w:ascii="方正仿宋_GBK" w:hAnsi="方正仿宋_GBK" w:eastAsia="方正仿宋_GBK" w:cs="方正仿宋_GBK"/>
          <w:lang w:val="en-US" w:eastAsia="zh-CN"/>
        </w:rPr>
        <w:t>高危</w:t>
      </w:r>
      <w:r>
        <w:rPr>
          <w:rFonts w:hint="eastAsia" w:ascii="方正仿宋_GBK" w:hAnsi="方正仿宋_GBK" w:eastAsia="方正仿宋_GBK" w:cs="方正仿宋_GBK"/>
          <w:lang w:val="en-US" w:eastAsia="zh"/>
        </w:rPr>
        <w:t>行业</w:t>
      </w:r>
      <w:r>
        <w:rPr>
          <w:rFonts w:hint="eastAsia" w:ascii="方正仿宋_GBK" w:hAnsi="方正仿宋_GBK" w:eastAsia="方正仿宋_GBK" w:cs="方正仿宋_GBK"/>
          <w:lang w:val="en-US" w:eastAsia="zh-CN"/>
        </w:rPr>
        <w:t>关键环节，建设完善安全风险监测预警网络，深化“工业互联网+安全生产”智能化融合应用，强化异常行为识别和关键环节风险监测。强化重点行业领域数据接入与管理</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依托省安全风险监测预警系统进一步完善“工矿商贸信息化一张图”，深化</w:t>
      </w:r>
      <w:r>
        <w:rPr>
          <w:rFonts w:hint="eastAsia" w:ascii="方正仿宋_GBK" w:hAnsi="方正仿宋_GBK" w:eastAsia="方正仿宋_GBK" w:cs="方正仿宋_GBK"/>
          <w:lang w:val="en-US" w:eastAsia="zh"/>
        </w:rPr>
        <w:t>数据应用，提升</w:t>
      </w:r>
      <w:r>
        <w:rPr>
          <w:rFonts w:hint="eastAsia" w:ascii="方正仿宋_GBK" w:hAnsi="方正仿宋_GBK" w:eastAsia="方正仿宋_GBK" w:cs="方正仿宋_GBK"/>
          <w:lang w:val="en-US" w:eastAsia="zh-CN"/>
        </w:rPr>
        <w:t>风险</w:t>
      </w:r>
      <w:r>
        <w:rPr>
          <w:rFonts w:hint="eastAsia" w:ascii="方正仿宋_GBK" w:hAnsi="方正仿宋_GBK" w:eastAsia="方正仿宋_GBK" w:cs="方正仿宋_GBK"/>
          <w:lang w:val="en-US" w:eastAsia="zh"/>
        </w:rPr>
        <w:t>智能预警</w:t>
      </w:r>
      <w:r>
        <w:rPr>
          <w:rFonts w:hint="eastAsia" w:ascii="方正仿宋_GBK" w:hAnsi="方正仿宋_GBK" w:eastAsia="方正仿宋_GBK" w:cs="方正仿宋_GBK"/>
          <w:lang w:val="en-US" w:eastAsia="zh-CN"/>
        </w:rPr>
        <w:t>防控水平</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探索推进</w:t>
      </w:r>
      <w:r>
        <w:rPr>
          <w:rFonts w:hint="eastAsia" w:ascii="方正仿宋_GBK" w:hAnsi="方正仿宋_GBK" w:eastAsia="方正仿宋_GBK" w:cs="方正仿宋_GBK"/>
          <w:lang w:val="en-US" w:eastAsia="zh"/>
        </w:rPr>
        <w:t>露天矿山边坡安全智能巡检平台</w:t>
      </w:r>
      <w:r>
        <w:rPr>
          <w:rFonts w:hint="eastAsia" w:ascii="方正仿宋_GBK" w:hAnsi="方正仿宋_GBK" w:eastAsia="方正仿宋_GBK" w:cs="方正仿宋_GBK"/>
          <w:lang w:val="en-US" w:eastAsia="zh-CN"/>
        </w:rPr>
        <w:t>建设</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提升露天矿山风险防控水平。</w:t>
      </w:r>
    </w:p>
    <w:bookmarkEnd w:id="117"/>
    <w:bookmarkEnd w:id="118"/>
    <w:bookmarkEnd w:id="119"/>
    <w:bookmarkEnd w:id="120"/>
    <w:p>
      <w:pPr>
        <w:bidi w:val="0"/>
        <w:spacing w:line="560" w:lineRule="exact"/>
        <w:ind w:firstLine="0"/>
        <w:rPr>
          <w:rFonts w:hint="eastAsia" w:ascii="方正仿宋_GBK" w:hAnsi="方正仿宋_GBK" w:eastAsia="方正仿宋_GBK" w:cs="方正仿宋_GBK"/>
          <w:lang w:val="en-US" w:eastAsia="zh-CN"/>
        </w:rPr>
      </w:pPr>
      <w:bookmarkStart w:id="128" w:name="_Toc18047"/>
      <w:bookmarkStart w:id="129" w:name="_Toc24378"/>
      <w:bookmarkStart w:id="130" w:name="_Toc1106386692"/>
      <w:bookmarkStart w:id="131" w:name="_Toc28543"/>
      <w:bookmarkStart w:id="132" w:name="_Toc1842903777"/>
      <w:bookmarkStart w:id="133" w:name="_Toc1380219865"/>
      <w:bookmarkStart w:id="134" w:name="_Toc28890"/>
      <w:bookmarkStart w:id="135" w:name="_Toc22288"/>
      <w:bookmarkStart w:id="136" w:name="_Toc5019"/>
      <w:bookmarkStart w:id="137" w:name="_Toc3153"/>
      <w:r>
        <w:rPr>
          <w:rFonts w:hint="eastAsia" w:ascii="方正仿宋_GBK" w:hAnsi="方正仿宋_GBK" w:eastAsia="方正仿宋_GBK" w:cs="方正仿宋_GBK"/>
          <w:b/>
          <w:bCs/>
          <w:lang w:val="en-US" w:eastAsia="zh-CN"/>
        </w:rPr>
        <w:t>深化重点领域治理</w:t>
      </w:r>
      <w:bookmarkEnd w:id="128"/>
      <w:bookmarkEnd w:id="129"/>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color w:val="auto"/>
          <w:highlight w:val="none"/>
          <w:lang w:val="en-US" w:eastAsia="zh-CN"/>
        </w:rPr>
        <w:t>深化安全风险分级管控和隐患排查治理双重预防机制建设，聚焦危险化学品、</w:t>
      </w:r>
      <w:r>
        <w:rPr>
          <w:rFonts w:hint="eastAsia" w:ascii="方正仿宋_GBK" w:hAnsi="方正仿宋_GBK" w:eastAsia="方正仿宋_GBK" w:cs="方正仿宋_GBK"/>
          <w:color w:val="auto"/>
          <w:highlight w:val="none"/>
          <w:lang w:val="en-US" w:eastAsia="zh"/>
        </w:rPr>
        <w:t>非煤矿山、粉尘涉爆、</w:t>
      </w:r>
      <w:r>
        <w:rPr>
          <w:rFonts w:hint="eastAsia" w:ascii="方正仿宋_GBK" w:hAnsi="方正仿宋_GBK" w:eastAsia="方正仿宋_GBK" w:cs="方正仿宋_GBK"/>
          <w:color w:val="auto"/>
          <w:highlight w:val="none"/>
          <w:lang w:val="en-US" w:eastAsia="zh-CN"/>
        </w:rPr>
        <w:t>烟花爆竹、建筑施工、交通运输</w:t>
      </w:r>
      <w:r>
        <w:rPr>
          <w:rFonts w:hint="eastAsia" w:ascii="方正仿宋_GBK" w:hAnsi="方正仿宋_GBK" w:eastAsia="方正仿宋_GBK" w:cs="方正仿宋_GBK"/>
          <w:color w:val="auto"/>
          <w:highlight w:val="none"/>
          <w:lang w:val="en-US" w:eastAsia="zh"/>
        </w:rPr>
        <w:t>、特种设备</w:t>
      </w:r>
      <w:r>
        <w:rPr>
          <w:rFonts w:hint="eastAsia" w:ascii="方正仿宋_GBK" w:hAnsi="方正仿宋_GBK" w:eastAsia="方正仿宋_GBK" w:cs="方正仿宋_GBK"/>
          <w:color w:val="auto"/>
          <w:highlight w:val="none"/>
          <w:lang w:val="en-US" w:eastAsia="zh-CN"/>
        </w:rPr>
        <w:t>、</w:t>
      </w:r>
      <w:r>
        <w:rPr>
          <w:rFonts w:hint="eastAsia" w:ascii="方正仿宋_GBK" w:hAnsi="方正仿宋_GBK" w:eastAsia="方正仿宋_GBK" w:cs="方正仿宋_GBK"/>
          <w:color w:val="auto"/>
          <w:highlight w:val="none"/>
          <w:lang w:val="en-US" w:eastAsia="zh"/>
        </w:rPr>
        <w:t>渔业船舶</w:t>
      </w:r>
      <w:r>
        <w:rPr>
          <w:rFonts w:hint="eastAsia" w:ascii="方正仿宋_GBK" w:hAnsi="方正仿宋_GBK" w:eastAsia="方正仿宋_GBK" w:cs="方正仿宋_GBK"/>
          <w:color w:val="auto"/>
          <w:highlight w:val="none"/>
          <w:lang w:val="en-US" w:eastAsia="zh-CN"/>
        </w:rPr>
        <w:t>等重点行业领域和陶瓷、印刷、服装、不锈钢等传统支柱产业，常态化开展安全风险评估和隐患排查，建立风险隐患动态台账，深化隐患排查治理闭环。</w:t>
      </w:r>
      <w:r>
        <w:rPr>
          <w:rFonts w:hint="eastAsia" w:ascii="方正仿宋_GBK" w:hAnsi="方正仿宋_GBK" w:eastAsia="方正仿宋_GBK" w:cs="方正仿宋_GBK"/>
          <w:lang w:val="en-US" w:eastAsia="zh-CN"/>
        </w:rPr>
        <w:t>强化新产业、新业态安全风险预防，提前研判安全风险，健全监管制度，强化风险源头管控。</w:t>
      </w:r>
      <w:bookmarkEnd w:id="130"/>
      <w:bookmarkEnd w:id="131"/>
      <w:bookmarkEnd w:id="132"/>
      <w:bookmarkEnd w:id="133"/>
      <w:bookmarkEnd w:id="134"/>
      <w:bookmarkEnd w:id="135"/>
      <w:bookmarkEnd w:id="136"/>
      <w:bookmarkEnd w:id="137"/>
      <w:r>
        <w:rPr>
          <w:rFonts w:hint="eastAsia" w:ascii="方正仿宋_GBK" w:hAnsi="方正仿宋_GBK" w:eastAsia="方正仿宋_GBK" w:cs="方正仿宋_GBK"/>
          <w:lang w:val="en-US" w:eastAsia="zh-CN"/>
        </w:rPr>
        <w:t>鼓励行业组织建立自律机制，</w:t>
      </w:r>
      <w:r>
        <w:rPr>
          <w:rFonts w:hint="eastAsia" w:ascii="方正仿宋_GBK" w:hAnsi="方正仿宋_GBK" w:eastAsia="方正仿宋_GBK" w:cs="方正仿宋_GBK"/>
          <w:color w:val="auto"/>
          <w:highlight w:val="none"/>
          <w:lang w:val="en-US" w:eastAsia="zh-CN"/>
        </w:rPr>
        <w:t>推动企业落实隐患自查自改主体责任，强化部门监督检查与指导帮扶。</w:t>
      </w:r>
    </w:p>
    <w:p>
      <w:pPr>
        <w:spacing w:line="560" w:lineRule="exact"/>
        <w:ind w:firstLine="0"/>
        <w:rPr>
          <w:rFonts w:hint="eastAsia" w:ascii="方正仿宋_GBK" w:hAnsi="方正仿宋_GBK" w:eastAsia="方正仿宋_GBK" w:cs="方正仿宋_GBK"/>
          <w:lang w:val="en-US" w:eastAsia="zh-CN"/>
        </w:rPr>
      </w:pPr>
      <w:bookmarkStart w:id="138" w:name="_Toc4256"/>
      <w:bookmarkStart w:id="139" w:name="_Toc31709"/>
      <w:bookmarkStart w:id="140" w:name="_Toc29519"/>
      <w:bookmarkStart w:id="141" w:name="_Toc22804"/>
      <w:r>
        <w:rPr>
          <w:rFonts w:hint="eastAsia" w:ascii="方正仿宋_GBK" w:hAnsi="方正仿宋_GBK" w:eastAsia="方正仿宋_GBK" w:cs="方正仿宋_GBK"/>
          <w:b/>
          <w:bCs/>
          <w:lang w:val="en-US" w:eastAsia="zh-CN"/>
        </w:rPr>
        <w:t>提升监管执法水平</w:t>
      </w:r>
      <w:bookmarkEnd w:id="138"/>
      <w:bookmarkEnd w:id="139"/>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加强执法队伍建设，完善执法装备配备。强化执法培训与岗位练兵，提升执法人员专业素养与实战能力。完善执法监管机制，推行“双随机、一公开”监管与重点监管相结合的模式，规范执法程序。推广信用分级监管，推行柔性+刚性结合执法。推进“互联网+监管”建设，充分运用视频监控、智能监测等技术手段拓展非现场远程执法能力。</w:t>
      </w:r>
    </w:p>
    <w:bookmarkEnd w:id="140"/>
    <w:bookmarkEnd w:id="141"/>
    <w:p>
      <w:pPr>
        <w:bidi w:val="0"/>
        <w:spacing w:line="560" w:lineRule="exact"/>
        <w:ind w:firstLine="0"/>
        <w:rPr>
          <w:rFonts w:hint="eastAsia" w:ascii="方正仿宋_GBK" w:hAnsi="方正仿宋_GBK" w:eastAsia="方正仿宋_GBK" w:cs="方正仿宋_GBK"/>
          <w:lang w:val="en-US" w:eastAsia="zh"/>
        </w:rPr>
      </w:pPr>
      <w:bookmarkStart w:id="142" w:name="_Toc10380"/>
      <w:bookmarkStart w:id="143" w:name="_Toc3771"/>
      <w:r>
        <w:rPr>
          <w:rFonts w:hint="eastAsia" w:ascii="方正仿宋_GBK" w:hAnsi="方正仿宋_GBK" w:eastAsia="方正仿宋_GBK" w:cs="方正仿宋_GBK"/>
          <w:b/>
          <w:bCs/>
          <w:lang w:val="en-US" w:eastAsia="zh-CN"/>
        </w:rPr>
        <w:t>强化城市风险防控</w:t>
      </w:r>
      <w:bookmarkEnd w:id="142"/>
      <w:bookmarkEnd w:id="143"/>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推动开展城市安全风险评估，紧盯城市运行重点风险，强化燃气、老旧建筑、市政基础设施、地下管网、消防安全</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商贸</w:t>
      </w:r>
      <w:r>
        <w:rPr>
          <w:rFonts w:hint="eastAsia" w:ascii="方正仿宋_GBK" w:hAnsi="方正仿宋_GBK" w:eastAsia="方正仿宋_GBK" w:cs="方正仿宋_GBK"/>
          <w:lang w:val="en-US" w:eastAsia="zh"/>
        </w:rPr>
        <w:t>文旅</w:t>
      </w:r>
      <w:r>
        <w:rPr>
          <w:rFonts w:hint="eastAsia" w:ascii="方正仿宋_GBK" w:hAnsi="方正仿宋_GBK" w:eastAsia="方正仿宋_GBK" w:cs="方正仿宋_GBK"/>
          <w:lang w:val="en-US" w:eastAsia="zh-CN"/>
        </w:rPr>
        <w:t>等领域风险防控。加强老旧房屋、自建房安全隐患排查与安全鉴定，结合城市更新、城中村改造、新型城镇化建设等推进危房治理。深化消防安全专项整治，纵深推进“小火亡人”和“九小”“三合一”场所、高层建筑消防安全治理，推进消防通道专项整治。加强占道施工、管网改造、装修、外墙施工等小微临散作业的安全监管，减少微型隐患。</w:t>
      </w:r>
    </w:p>
    <w:p>
      <w:pPr>
        <w:pStyle w:val="3"/>
        <w:bidi w:val="0"/>
        <w:rPr>
          <w:rFonts w:hint="eastAsia" w:ascii="方正楷体_GBK" w:hAnsi="方正楷体_GBK" w:eastAsia="方正楷体_GBK" w:cs="方正楷体_GBK"/>
          <w:color w:val="auto"/>
          <w:highlight w:val="none"/>
          <w:lang w:val="en-US" w:eastAsia="zh-CN"/>
        </w:rPr>
      </w:pPr>
      <w:bookmarkStart w:id="144" w:name="_Toc19185"/>
      <w:bookmarkStart w:id="145" w:name="_Toc3654"/>
      <w:bookmarkStart w:id="146" w:name="_Toc21711"/>
      <w:bookmarkStart w:id="147" w:name="_Toc24042"/>
      <w:bookmarkStart w:id="148" w:name="_Toc2254"/>
      <w:bookmarkStart w:id="149" w:name="_Toc18731"/>
      <w:r>
        <w:rPr>
          <w:rFonts w:hint="eastAsia" w:ascii="方正楷体_GBK" w:hAnsi="方正楷体_GBK" w:eastAsia="方正楷体_GBK" w:cs="方正楷体_GBK"/>
          <w:color w:val="auto"/>
          <w:highlight w:val="none"/>
          <w:lang w:val="en-US" w:eastAsia="zh-CN"/>
        </w:rPr>
        <w:t>（四）健全灾害防御体系</w:t>
      </w:r>
      <w:bookmarkEnd w:id="144"/>
      <w:bookmarkEnd w:id="145"/>
      <w:bookmarkEnd w:id="146"/>
      <w:bookmarkEnd w:id="147"/>
      <w:bookmarkEnd w:id="148"/>
      <w:bookmarkEnd w:id="149"/>
    </w:p>
    <w:p>
      <w:pPr>
        <w:keepNext w:val="0"/>
        <w:keepLines w:val="0"/>
        <w:widowControl w:val="0"/>
        <w:suppressLineNumbers w:val="0"/>
        <w:suppressAutoHyphens/>
        <w:overflowPunct w:val="0"/>
        <w:autoSpaceDE/>
        <w:autoSpaceDN/>
        <w:snapToGrid w:val="0"/>
        <w:spacing w:before="0" w:beforeAutospacing="0" w:after="0" w:afterAutospacing="0" w:line="560" w:lineRule="exact"/>
        <w:ind w:left="0" w:right="0" w:firstLine="643" w:firstLineChars="200"/>
        <w:jc w:val="both"/>
        <w:rPr>
          <w:rFonts w:hint="eastAsia" w:ascii="方正仿宋_GBK" w:hAnsi="方正仿宋_GBK" w:eastAsia="方正仿宋_GBK" w:cs="方正仿宋_GBK"/>
          <w:caps w:val="0"/>
          <w:snapToGrid/>
          <w:color w:val="auto"/>
          <w:kern w:val="0"/>
          <w:sz w:val="32"/>
          <w:szCs w:val="30"/>
          <w:highlight w:val="none"/>
          <w:lang w:val="en-US" w:eastAsia="zh-CN" w:bidi="ar"/>
        </w:rPr>
      </w:pPr>
      <w:bookmarkStart w:id="150" w:name="_Toc12257"/>
      <w:bookmarkStart w:id="151" w:name="_Toc15825"/>
      <w:bookmarkStart w:id="152" w:name="_Toc14451"/>
      <w:bookmarkStart w:id="153" w:name="_Toc510"/>
      <w:bookmarkStart w:id="154" w:name="_Toc5954"/>
      <w:bookmarkStart w:id="155" w:name="_Toc790769728"/>
      <w:bookmarkStart w:id="156" w:name="_Toc1539200935"/>
      <w:bookmarkStart w:id="157" w:name="_Toc20769"/>
      <w:bookmarkStart w:id="158" w:name="_Toc1186106831"/>
      <w:bookmarkStart w:id="159" w:name="_Toc1023317824"/>
      <w:bookmarkStart w:id="160" w:name="_Toc10469"/>
      <w:bookmarkStart w:id="161" w:name="_Toc1886737293"/>
      <w:bookmarkStart w:id="162" w:name="_Toc43690403"/>
      <w:bookmarkStart w:id="163" w:name="_Toc737080552"/>
      <w:bookmarkStart w:id="164" w:name="_Toc1874965009"/>
      <w:bookmarkStart w:id="165" w:name="_Toc2361"/>
      <w:bookmarkStart w:id="166" w:name="_Toc683822512"/>
      <w:bookmarkStart w:id="167" w:name="_Toc631700457"/>
      <w:bookmarkStart w:id="168" w:name="_Toc1550966243"/>
      <w:bookmarkStart w:id="169" w:name="_Toc1702792839"/>
      <w:r>
        <w:rPr>
          <w:rFonts w:hint="eastAsia" w:ascii="方正仿宋_GBK" w:hAnsi="方正仿宋_GBK" w:eastAsia="方正仿宋_GBK" w:cs="方正仿宋_GBK"/>
          <w:b/>
          <w:bCs/>
          <w:color w:val="auto"/>
          <w:highlight w:val="none"/>
        </w:rPr>
        <w:t>加强灾害调查</w:t>
      </w:r>
      <w:r>
        <w:rPr>
          <w:rFonts w:hint="eastAsia" w:ascii="方正仿宋_GBK" w:hAnsi="方正仿宋_GBK" w:eastAsia="方正仿宋_GBK" w:cs="方正仿宋_GBK"/>
          <w:b/>
          <w:bCs/>
          <w:color w:val="auto"/>
          <w:highlight w:val="none"/>
          <w:lang w:eastAsia="zh"/>
        </w:rPr>
        <w:t>评估</w:t>
      </w:r>
      <w:bookmarkEnd w:id="150"/>
      <w:bookmarkEnd w:id="151"/>
      <w:bookmarkEnd w:id="152"/>
      <w:bookmarkEnd w:id="153"/>
      <w:bookmarkEnd w:id="154"/>
      <w:r>
        <w:rPr>
          <w:rFonts w:hint="eastAsia" w:ascii="方正仿宋_GBK" w:hAnsi="方正仿宋_GBK" w:eastAsia="方正仿宋_GBK" w:cs="方正仿宋_GBK"/>
          <w:b/>
          <w:bCs/>
          <w:color w:val="auto"/>
          <w:highlight w:val="none"/>
          <w:lang w:eastAsia="zh-CN"/>
        </w:rPr>
        <w:t>。</w:t>
      </w:r>
      <w:r>
        <w:rPr>
          <w:rFonts w:hint="eastAsia" w:ascii="方正仿宋_GBK" w:hAnsi="方正仿宋_GBK" w:eastAsia="方正仿宋_GBK" w:cs="方正仿宋_GBK"/>
          <w:caps w:val="0"/>
          <w:snapToGrid/>
          <w:color w:val="auto"/>
          <w:kern w:val="0"/>
          <w:sz w:val="32"/>
          <w:szCs w:val="30"/>
          <w:highlight w:val="none"/>
          <w:lang w:val="en-US" w:eastAsia="zh" w:bidi="ar"/>
        </w:rPr>
        <w:t>推进</w:t>
      </w:r>
      <w:r>
        <w:rPr>
          <w:rFonts w:hint="eastAsia" w:ascii="方正仿宋_GBK" w:hAnsi="方正仿宋_GBK" w:eastAsia="方正仿宋_GBK" w:cs="方正仿宋_GBK"/>
          <w:caps w:val="0"/>
          <w:snapToGrid/>
          <w:color w:val="auto"/>
          <w:kern w:val="0"/>
          <w:sz w:val="32"/>
          <w:szCs w:val="30"/>
          <w:highlight w:val="none"/>
          <w:lang w:val="en-US" w:eastAsia="zh-CN" w:bidi="ar"/>
        </w:rPr>
        <w:t>自然灾害综合风险普查成果更新，完善自然灾害综合风险数据库，强化普查成果共享应用。健全风险隐患调查排查、信息报送、治理核销的动态管理机制。优化灾情报送流程，推广数字化报送工具。加强</w:t>
      </w:r>
      <w:r>
        <w:rPr>
          <w:rFonts w:hint="eastAsia" w:ascii="方正仿宋_GBK" w:hAnsi="方正仿宋_GBK" w:eastAsia="方正仿宋_GBK" w:cs="方正仿宋_GBK"/>
          <w:caps w:val="0"/>
          <w:snapToGrid/>
          <w:color w:val="auto"/>
          <w:kern w:val="0"/>
          <w:sz w:val="32"/>
          <w:szCs w:val="30"/>
          <w:highlight w:val="none"/>
          <w:lang w:val="en-US" w:eastAsia="zh" w:bidi="ar"/>
        </w:rPr>
        <w:t>基层网格员培训</w:t>
      </w:r>
      <w:r>
        <w:rPr>
          <w:rFonts w:hint="eastAsia" w:ascii="方正仿宋_GBK" w:hAnsi="方正仿宋_GBK" w:eastAsia="方正仿宋_GBK" w:cs="方正仿宋_GBK"/>
          <w:caps w:val="0"/>
          <w:snapToGrid/>
          <w:color w:val="auto"/>
          <w:kern w:val="0"/>
          <w:sz w:val="32"/>
          <w:szCs w:val="30"/>
          <w:highlight w:val="none"/>
          <w:lang w:val="en-US" w:eastAsia="zh-CN" w:bidi="ar"/>
        </w:rPr>
        <w:t>管理，强化隐患识别、灾情报送能力，筑牢灾害防御第一道哨点。</w:t>
      </w:r>
    </w:p>
    <w:p>
      <w:pPr>
        <w:keepNext w:val="0"/>
        <w:keepLines w:val="0"/>
        <w:widowControl w:val="0"/>
        <w:suppressLineNumbers w:val="0"/>
        <w:suppressAutoHyphens/>
        <w:overflowPunct w:val="0"/>
        <w:autoSpaceDE/>
        <w:autoSpaceDN/>
        <w:snapToGrid w:val="0"/>
        <w:spacing w:before="0" w:beforeAutospacing="0" w:after="0" w:afterAutospacing="0" w:line="560" w:lineRule="exact"/>
        <w:ind w:left="0" w:right="0" w:firstLine="643" w:firstLineChars="200"/>
        <w:jc w:val="both"/>
        <w:rPr>
          <w:rFonts w:hint="eastAsia" w:ascii="方正仿宋_GBK" w:hAnsi="方正仿宋_GBK" w:eastAsia="方正仿宋_GBK" w:cs="方正仿宋_GBK"/>
          <w:caps w:val="0"/>
          <w:color w:val="auto"/>
          <w:kern w:val="2"/>
          <w:szCs w:val="32"/>
          <w:highlight w:val="none"/>
          <w:lang w:bidi="ar"/>
        </w:rPr>
      </w:pPr>
      <w:bookmarkStart w:id="170" w:name="_Toc17894"/>
      <w:bookmarkStart w:id="171" w:name="_Toc9701"/>
      <w:bookmarkStart w:id="172" w:name="_Toc12713"/>
      <w:bookmarkStart w:id="173" w:name="_Toc6167"/>
      <w:bookmarkStart w:id="174" w:name="_Toc24783"/>
      <w:r>
        <w:rPr>
          <w:rFonts w:hint="eastAsia" w:ascii="方正仿宋_GBK" w:hAnsi="方正仿宋_GBK" w:eastAsia="方正仿宋_GBK" w:cs="方正仿宋_GBK"/>
          <w:b/>
          <w:bCs/>
          <w:lang w:eastAsia="zh"/>
        </w:rPr>
        <w:t>强化</w:t>
      </w:r>
      <w:r>
        <w:rPr>
          <w:rFonts w:hint="eastAsia" w:ascii="方正仿宋_GBK" w:hAnsi="方正仿宋_GBK" w:eastAsia="方正仿宋_GBK" w:cs="方正仿宋_GBK"/>
          <w:b/>
          <w:bCs/>
        </w:rPr>
        <w:t>灾害</w:t>
      </w:r>
      <w:r>
        <w:rPr>
          <w:rFonts w:hint="eastAsia" w:ascii="方正仿宋_GBK" w:hAnsi="方正仿宋_GBK" w:eastAsia="方正仿宋_GBK" w:cs="方正仿宋_GBK"/>
          <w:b/>
          <w:bCs/>
          <w:lang w:eastAsia="zh"/>
        </w:rPr>
        <w:t>风险防控</w:t>
      </w:r>
      <w:bookmarkEnd w:id="170"/>
      <w:bookmarkEnd w:id="171"/>
      <w:bookmarkEnd w:id="172"/>
      <w:bookmarkEnd w:id="173"/>
      <w:bookmarkEnd w:id="174"/>
      <w:r>
        <w:rPr>
          <w:rFonts w:hint="eastAsia" w:ascii="方正仿宋_GBK" w:hAnsi="方正仿宋_GBK" w:eastAsia="方正仿宋_GBK" w:cs="方正仿宋_GBK"/>
          <w:b/>
          <w:bCs/>
          <w:lang w:eastAsia="zh-CN"/>
        </w:rPr>
        <w:t>。</w:t>
      </w:r>
      <w:r>
        <w:rPr>
          <w:rFonts w:hint="eastAsia" w:ascii="方正仿宋_GBK" w:hAnsi="方正仿宋_GBK" w:eastAsia="方正仿宋_GBK" w:cs="方正仿宋_GBK"/>
          <w:lang w:val="en-US" w:eastAsia="zh-CN"/>
        </w:rPr>
        <w:t>推进</w:t>
      </w:r>
      <w:r>
        <w:rPr>
          <w:rFonts w:hint="eastAsia" w:ascii="方正仿宋_GBK" w:hAnsi="方正仿宋_GBK" w:eastAsia="方正仿宋_GBK" w:cs="方正仿宋_GBK"/>
          <w:lang w:val="en-US" w:eastAsia="zh"/>
        </w:rPr>
        <w:t>自然灾害</w:t>
      </w:r>
      <w:r>
        <w:rPr>
          <w:rFonts w:hint="eastAsia" w:ascii="方正仿宋_GBK" w:hAnsi="方正仿宋_GBK" w:eastAsia="方正仿宋_GBK" w:cs="方正仿宋_GBK"/>
          <w:lang w:val="en-US" w:eastAsia="zh-CN"/>
        </w:rPr>
        <w:t>监测网络建设，优化气象、水文、地质、林火、地震、海洋</w:t>
      </w:r>
      <w:r>
        <w:rPr>
          <w:rFonts w:hint="eastAsia" w:ascii="方正仿宋_GBK" w:hAnsi="方正仿宋_GBK" w:eastAsia="方正仿宋_GBK" w:cs="方正仿宋_GBK"/>
          <w:lang w:val="en-US" w:eastAsia="zh"/>
        </w:rPr>
        <w:t>等</w:t>
      </w:r>
      <w:r>
        <w:rPr>
          <w:rFonts w:hint="eastAsia" w:ascii="方正仿宋_GBK" w:hAnsi="方正仿宋_GBK" w:eastAsia="方正仿宋_GBK" w:cs="方正仿宋_GBK"/>
          <w:lang w:val="en-US" w:eastAsia="zh-CN"/>
        </w:rPr>
        <w:t>监测点位布局，强化多部门监测数据共享与联合研判，</w:t>
      </w:r>
      <w:r>
        <w:rPr>
          <w:rFonts w:hint="eastAsia" w:ascii="方正仿宋_GBK" w:hAnsi="方正仿宋_GBK" w:eastAsia="方正仿宋_GBK" w:cs="方正仿宋_GBK"/>
          <w:lang w:val="en-US" w:eastAsia="zh"/>
        </w:rPr>
        <w:t>提升</w:t>
      </w:r>
      <w:r>
        <w:rPr>
          <w:rFonts w:hint="eastAsia" w:ascii="方正仿宋_GBK" w:hAnsi="方正仿宋_GBK" w:eastAsia="方正仿宋_GBK" w:cs="方正仿宋_GBK"/>
          <w:lang w:val="en-US" w:eastAsia="zh-CN"/>
        </w:rPr>
        <w:t>灾害预警</w:t>
      </w:r>
      <w:r>
        <w:rPr>
          <w:rFonts w:hint="eastAsia" w:ascii="方正仿宋_GBK" w:hAnsi="方正仿宋_GBK" w:eastAsia="方正仿宋_GBK" w:cs="方正仿宋_GBK"/>
          <w:lang w:val="en-US" w:eastAsia="zh"/>
        </w:rPr>
        <w:t>精准度。</w:t>
      </w:r>
      <w:r>
        <w:rPr>
          <w:rFonts w:hint="eastAsia" w:ascii="方正仿宋_GBK" w:hAnsi="方正仿宋_GBK" w:eastAsia="方正仿宋_GBK" w:cs="方正仿宋_GBK"/>
          <w:lang w:val="en-US" w:eastAsia="zh-CN"/>
        </w:rPr>
        <w:t>推进</w:t>
      </w:r>
      <w:r>
        <w:rPr>
          <w:rFonts w:hint="eastAsia" w:ascii="方正仿宋_GBK" w:hAnsi="方正仿宋_GBK" w:eastAsia="方正仿宋_GBK" w:cs="方正仿宋_GBK"/>
          <w:lang w:val="en-US" w:eastAsia="zh"/>
        </w:rPr>
        <w:t>地区暴雨公式</w:t>
      </w:r>
      <w:r>
        <w:rPr>
          <w:rFonts w:hint="eastAsia" w:ascii="方正仿宋_GBK" w:hAnsi="方正仿宋_GBK" w:eastAsia="方正仿宋_GBK" w:cs="方正仿宋_GBK"/>
          <w:lang w:val="en-US" w:eastAsia="zh-CN"/>
        </w:rPr>
        <w:t>编制和暴雨预警靶向发布平台建设</w:t>
      </w:r>
      <w:r>
        <w:rPr>
          <w:rFonts w:hint="eastAsia" w:ascii="方正仿宋_GBK" w:hAnsi="方正仿宋_GBK" w:eastAsia="方正仿宋_GBK" w:cs="方正仿宋_GBK"/>
          <w:lang w:val="en-US" w:eastAsia="zh"/>
        </w:rPr>
        <w:t>，提升</w:t>
      </w:r>
      <w:r>
        <w:rPr>
          <w:rFonts w:hint="eastAsia" w:ascii="方正仿宋_GBK" w:hAnsi="方正仿宋_GBK" w:eastAsia="方正仿宋_GBK" w:cs="方正仿宋_GBK"/>
          <w:lang w:val="en-US" w:eastAsia="zh-CN"/>
        </w:rPr>
        <w:t>暴雨</w:t>
      </w:r>
      <w:r>
        <w:rPr>
          <w:rFonts w:hint="eastAsia" w:ascii="方正仿宋_GBK" w:hAnsi="方正仿宋_GBK" w:eastAsia="方正仿宋_GBK" w:cs="方正仿宋_GBK"/>
          <w:lang w:val="en-US" w:eastAsia="zh"/>
        </w:rPr>
        <w:t>风险</w:t>
      </w:r>
      <w:r>
        <w:rPr>
          <w:rFonts w:hint="eastAsia" w:ascii="方正仿宋_GBK" w:hAnsi="方正仿宋_GBK" w:eastAsia="方正仿宋_GBK" w:cs="方正仿宋_GBK"/>
          <w:lang w:val="en-US" w:eastAsia="zh-CN"/>
        </w:rPr>
        <w:t>预警</w:t>
      </w:r>
      <w:r>
        <w:rPr>
          <w:rFonts w:hint="eastAsia" w:ascii="方正仿宋_GBK" w:hAnsi="方正仿宋_GBK" w:eastAsia="方正仿宋_GBK" w:cs="方正仿宋_GBK"/>
          <w:lang w:val="en-US" w:eastAsia="zh"/>
        </w:rPr>
        <w:t>能力</w:t>
      </w:r>
      <w:r>
        <w:rPr>
          <w:rFonts w:hint="eastAsia" w:ascii="方正仿宋_GBK" w:hAnsi="方正仿宋_GBK" w:eastAsia="方正仿宋_GBK" w:cs="方正仿宋_GBK"/>
          <w:lang w:val="en-US" w:eastAsia="zh-CN"/>
        </w:rPr>
        <w:t>。加强巨灾风险与损失预评估，完善灾前准备工作链条，细化灾前物资储备、队伍预置、应急避险计划，针对性开展沿海渔民转移、山区群众避险等场景演练。</w:t>
      </w:r>
    </w:p>
    <w:p>
      <w:pPr>
        <w:overflowPunct w:val="0"/>
        <w:autoSpaceDE/>
        <w:bidi w:val="0"/>
        <w:spacing w:line="560" w:lineRule="exact"/>
        <w:ind w:firstLine="0"/>
        <w:rPr>
          <w:rFonts w:hint="eastAsia" w:ascii="方正仿宋_GBK" w:hAnsi="方正仿宋_GBK" w:eastAsia="方正仿宋_GBK" w:cs="方正仿宋_GBK"/>
          <w:lang w:val="en-US" w:eastAsia="zh-CN"/>
        </w:rPr>
      </w:pPr>
      <w:r>
        <w:rPr>
          <w:rFonts w:hint="eastAsia" w:ascii="方正仿宋_GBK" w:hAnsi="方正仿宋_GBK" w:eastAsia="方正仿宋_GBK" w:cs="方正仿宋_GBK"/>
          <w:b/>
          <w:bCs/>
          <w:lang w:val="en-US" w:eastAsia="zh-CN"/>
        </w:rPr>
        <w:t>建设安全韧性城乡。</w:t>
      </w:r>
      <w:r>
        <w:rPr>
          <w:rFonts w:hint="eastAsia" w:ascii="方正仿宋_GBK" w:hAnsi="方正仿宋_GBK" w:eastAsia="方正仿宋_GBK" w:cs="方正仿宋_GBK"/>
          <w:lang w:val="en-US" w:eastAsia="zh-CN"/>
        </w:rPr>
        <w:t>以城乡统筹发展为导向，推动防灾韧性要求融入城乡规划、建设、管理全过程，强化自然灾害风险源头</w:t>
      </w:r>
      <w:r>
        <w:rPr>
          <w:rFonts w:hint="eastAsia" w:ascii="方正仿宋_GBK" w:hAnsi="方正仿宋_GBK" w:eastAsia="方正仿宋_GBK" w:cs="方正仿宋_GBK"/>
          <w:lang w:val="en-US" w:eastAsia="zh"/>
        </w:rPr>
        <w:t>预防</w:t>
      </w:r>
      <w:r>
        <w:rPr>
          <w:rFonts w:hint="eastAsia" w:ascii="方正仿宋_GBK" w:hAnsi="方正仿宋_GBK" w:eastAsia="方正仿宋_GBK" w:cs="方正仿宋_GBK"/>
          <w:lang w:val="en-US" w:eastAsia="zh-CN"/>
        </w:rPr>
        <w:t>，优化城乡防灾空间布局。</w:t>
      </w:r>
      <w:r>
        <w:rPr>
          <w:rFonts w:hint="eastAsia" w:ascii="方正仿宋_GBK" w:hAnsi="方正仿宋_GBK" w:eastAsia="方正仿宋_GBK" w:cs="方正仿宋_GBK"/>
          <w:lang w:val="en-US" w:eastAsia="zh"/>
        </w:rPr>
        <w:t>加强</w:t>
      </w:r>
      <w:r>
        <w:rPr>
          <w:rFonts w:hint="eastAsia" w:ascii="方正仿宋_GBK" w:hAnsi="方正仿宋_GBK" w:eastAsia="方正仿宋_GBK" w:cs="方正仿宋_GBK"/>
          <w:lang w:val="en-US" w:eastAsia="zh-CN"/>
        </w:rPr>
        <w:t>城乡基础设施风险评估监测与</w:t>
      </w:r>
      <w:r>
        <w:rPr>
          <w:rFonts w:hint="eastAsia" w:ascii="方正仿宋_GBK" w:hAnsi="方正仿宋_GBK" w:eastAsia="方正仿宋_GBK" w:cs="方正仿宋_GBK"/>
          <w:lang w:val="en-US" w:eastAsia="zh"/>
        </w:rPr>
        <w:t>防灾韧性改造，推行新建基础设施、建筑防灾冗余设计</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
        </w:rPr>
        <w:t>充分利用</w:t>
      </w:r>
      <w:r>
        <w:rPr>
          <w:rFonts w:hint="eastAsia" w:ascii="方正仿宋_GBK" w:hAnsi="方正仿宋_GBK" w:eastAsia="方正仿宋_GBK" w:cs="方正仿宋_GBK"/>
          <w:lang w:val="en-US" w:eastAsia="zh-CN"/>
        </w:rPr>
        <w:t>城市更新、乡村振兴</w:t>
      </w:r>
      <w:r>
        <w:rPr>
          <w:rFonts w:hint="eastAsia" w:ascii="方正仿宋_GBK" w:hAnsi="方正仿宋_GBK" w:eastAsia="方正仿宋_GBK" w:cs="方正仿宋_GBK"/>
          <w:lang w:val="en-US" w:eastAsia="zh"/>
        </w:rPr>
        <w:t>、新型城镇化建设</w:t>
      </w:r>
      <w:r>
        <w:rPr>
          <w:rFonts w:hint="eastAsia" w:ascii="方正仿宋_GBK" w:hAnsi="方正仿宋_GBK" w:eastAsia="方正仿宋_GBK" w:cs="方正仿宋_GBK"/>
          <w:lang w:val="en-US" w:eastAsia="zh-CN"/>
        </w:rPr>
        <w:t>完善韧性防灾设施</w:t>
      </w:r>
      <w:r>
        <w:rPr>
          <w:rFonts w:hint="eastAsia" w:ascii="方正仿宋_GBK" w:hAnsi="方正仿宋_GBK" w:eastAsia="方正仿宋_GBK" w:cs="方正仿宋_GBK"/>
          <w:lang w:val="en-US" w:eastAsia="zh"/>
        </w:rPr>
        <w:t>。聚焦台风</w:t>
      </w:r>
      <w:r>
        <w:rPr>
          <w:rFonts w:hint="eastAsia" w:ascii="方正仿宋_GBK" w:hAnsi="方正仿宋_GBK" w:eastAsia="方正仿宋_GBK" w:cs="方正仿宋_GBK"/>
          <w:lang w:val="en-US" w:eastAsia="zh-CN"/>
        </w:rPr>
        <w:t>、风暴潮</w:t>
      </w:r>
      <w:r>
        <w:rPr>
          <w:rFonts w:hint="eastAsia" w:ascii="方正仿宋_GBK" w:hAnsi="方正仿宋_GBK" w:eastAsia="方正仿宋_GBK" w:cs="方正仿宋_GBK"/>
          <w:lang w:val="en-US" w:eastAsia="zh"/>
        </w:rPr>
        <w:t>预防开展</w:t>
      </w:r>
      <w:r>
        <w:rPr>
          <w:rFonts w:hint="eastAsia" w:ascii="方正仿宋_GBK" w:hAnsi="方正仿宋_GBK" w:eastAsia="方正仿宋_GBK" w:cs="方正仿宋_GBK"/>
          <w:lang w:val="en-US" w:eastAsia="zh-CN"/>
        </w:rPr>
        <w:t>沿海易损建筑整治和海堤加固；聚焦城乡防洪排涝短板</w:t>
      </w:r>
      <w:r>
        <w:rPr>
          <w:rFonts w:hint="eastAsia" w:ascii="方正仿宋_GBK" w:hAnsi="方正仿宋_GBK" w:eastAsia="方正仿宋_GBK" w:cs="方正仿宋_GBK"/>
          <w:lang w:val="en-US" w:eastAsia="zh"/>
        </w:rPr>
        <w:t>开展</w:t>
      </w:r>
      <w:r>
        <w:rPr>
          <w:rFonts w:hint="eastAsia" w:ascii="方正仿宋_GBK" w:hAnsi="方正仿宋_GBK" w:eastAsia="方正仿宋_GBK" w:cs="方正仿宋_GBK"/>
          <w:lang w:val="en-US" w:eastAsia="zh-CN"/>
        </w:rPr>
        <w:t>河道清淤疏浚、管网清淤、老旧管网改造、山区排洪设施建设</w:t>
      </w:r>
      <w:r>
        <w:rPr>
          <w:rFonts w:hint="eastAsia" w:ascii="方正仿宋_GBK" w:hAnsi="方正仿宋_GBK" w:eastAsia="方正仿宋_GBK" w:cs="方正仿宋_GBK"/>
          <w:lang w:val="en-US" w:eastAsia="zh"/>
        </w:rPr>
        <w:t>和高危山塘综合整治</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
        </w:rPr>
        <w:t>持续</w:t>
      </w:r>
      <w:r>
        <w:rPr>
          <w:rFonts w:hint="eastAsia" w:ascii="方正仿宋_GBK" w:hAnsi="方正仿宋_GBK" w:eastAsia="方正仿宋_GBK" w:cs="方正仿宋_GBK"/>
          <w:lang w:val="en-US" w:eastAsia="zh-CN"/>
        </w:rPr>
        <w:t>推进地质灾害</w:t>
      </w:r>
      <w:r>
        <w:rPr>
          <w:rFonts w:hint="eastAsia" w:ascii="方正仿宋_GBK" w:hAnsi="方正仿宋_GBK" w:eastAsia="方正仿宋_GBK" w:cs="方正仿宋_GBK"/>
          <w:lang w:val="en-US" w:eastAsia="zh"/>
        </w:rPr>
        <w:t>综合治理和避险搬迁</w:t>
      </w:r>
      <w:r>
        <w:rPr>
          <w:rFonts w:hint="eastAsia" w:ascii="方正仿宋_GBK" w:hAnsi="方正仿宋_GBK" w:eastAsia="方正仿宋_GBK" w:cs="方正仿宋_GBK"/>
          <w:lang w:val="en-US" w:eastAsia="zh-CN"/>
        </w:rPr>
        <w:t>；开展重点建筑抗震加固；统筹</w:t>
      </w:r>
      <w:r>
        <w:rPr>
          <w:rFonts w:hint="eastAsia" w:ascii="方正仿宋_GBK" w:hAnsi="方正仿宋_GBK" w:eastAsia="方正仿宋_GBK" w:cs="方正仿宋_GBK"/>
          <w:lang w:val="en-US" w:eastAsia="zh"/>
        </w:rPr>
        <w:t>推进</w:t>
      </w:r>
      <w:r>
        <w:rPr>
          <w:rFonts w:hint="eastAsia" w:ascii="方正仿宋_GBK" w:hAnsi="方正仿宋_GBK" w:eastAsia="方正仿宋_GBK" w:cs="方正仿宋_GBK"/>
          <w:lang w:val="en-US" w:eastAsia="zh-CN"/>
        </w:rPr>
        <w:t>林区</w:t>
      </w:r>
      <w:r>
        <w:rPr>
          <w:rFonts w:hint="eastAsia" w:ascii="方正仿宋_GBK" w:hAnsi="方正仿宋_GBK" w:eastAsia="方正仿宋_GBK" w:cs="方正仿宋_GBK"/>
        </w:rPr>
        <w:t>应急道路、林火阻隔带、蓄水池、</w:t>
      </w:r>
      <w:r>
        <w:rPr>
          <w:rFonts w:hint="eastAsia" w:ascii="方正仿宋_GBK" w:hAnsi="方正仿宋_GBK" w:eastAsia="方正仿宋_GBK" w:cs="方正仿宋_GBK"/>
          <w:lang w:val="en-US" w:eastAsia="zh-CN"/>
        </w:rPr>
        <w:t>输水管网等</w:t>
      </w:r>
      <w:r>
        <w:rPr>
          <w:rFonts w:hint="eastAsia" w:ascii="方正仿宋_GBK" w:hAnsi="方正仿宋_GBK" w:eastAsia="方正仿宋_GBK" w:cs="方正仿宋_GBK"/>
        </w:rPr>
        <w:t>防灭火基础设施建设</w:t>
      </w:r>
      <w:r>
        <w:rPr>
          <w:rFonts w:hint="eastAsia" w:ascii="方正仿宋_GBK" w:hAnsi="方正仿宋_GBK" w:eastAsia="方正仿宋_GBK" w:cs="方正仿宋_GBK"/>
          <w:lang w:val="en-US" w:eastAsia="zh-CN"/>
        </w:rPr>
        <w:t>。</w:t>
      </w:r>
    </w:p>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175" w:name="_Toc15581"/>
      <w:bookmarkStart w:id="176" w:name="_Toc21611"/>
      <w:r>
        <w:rPr>
          <w:rFonts w:hint="eastAsia" w:ascii="方正仿宋_GBK" w:hAnsi="方正仿宋_GBK" w:eastAsia="方正仿宋_GBK" w:cs="方正仿宋_GBK"/>
          <w:b/>
          <w:bCs/>
          <w:lang w:val="en-US" w:eastAsia="zh-CN"/>
        </w:rPr>
        <w:t>提升灾后救助能力</w:t>
      </w:r>
      <w:bookmarkEnd w:id="175"/>
      <w:bookmarkEnd w:id="176"/>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完善</w:t>
      </w:r>
      <w:r>
        <w:rPr>
          <w:rFonts w:hint="eastAsia" w:ascii="方正仿宋_GBK" w:hAnsi="方正仿宋_GBK" w:eastAsia="方正仿宋_GBK" w:cs="方正仿宋_GBK"/>
          <w:lang w:val="en-US" w:eastAsia="zh"/>
        </w:rPr>
        <w:t>灾后调查</w:t>
      </w:r>
      <w:r>
        <w:rPr>
          <w:rFonts w:hint="eastAsia" w:ascii="方正仿宋_GBK" w:hAnsi="方正仿宋_GBK" w:eastAsia="方正仿宋_GBK" w:cs="方正仿宋_GBK"/>
          <w:lang w:val="en-US" w:eastAsia="zh-CN"/>
        </w:rPr>
        <w:t>和灾害损失评估流程，加强无人机等新技术在灾情调查评估中的应用。优化灾后救助流程，</w:t>
      </w:r>
      <w:r>
        <w:rPr>
          <w:rFonts w:hint="eastAsia" w:ascii="方正仿宋_GBK" w:hAnsi="方正仿宋_GBK" w:eastAsia="方正仿宋_GBK" w:cs="方正仿宋_GBK"/>
        </w:rPr>
        <w:t>针对台风、洪涝、地震</w:t>
      </w:r>
      <w:r>
        <w:rPr>
          <w:rFonts w:hint="eastAsia" w:ascii="方正仿宋_GBK" w:hAnsi="方正仿宋_GBK" w:eastAsia="方正仿宋_GBK" w:cs="方正仿宋_GBK"/>
          <w:lang w:eastAsia="zh"/>
        </w:rPr>
        <w:t>、地质灾害</w:t>
      </w:r>
      <w:r>
        <w:rPr>
          <w:rFonts w:hint="eastAsia" w:ascii="方正仿宋_GBK" w:hAnsi="方正仿宋_GBK" w:eastAsia="方正仿宋_GBK" w:cs="方正仿宋_GBK"/>
        </w:rPr>
        <w:t>等不同灾种特点，制定</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一灾一策</w:t>
      </w:r>
      <w:r>
        <w:rPr>
          <w:rFonts w:hint="eastAsia" w:ascii="方正仿宋_GBK" w:hAnsi="方正仿宋_GBK" w:eastAsia="方正仿宋_GBK" w:cs="方正仿宋_GBK"/>
          <w:lang w:eastAsia="zh-CN"/>
        </w:rPr>
        <w:t>”</w:t>
      </w:r>
      <w:r>
        <w:rPr>
          <w:rFonts w:hint="eastAsia" w:ascii="方正仿宋_GBK" w:hAnsi="方正仿宋_GBK" w:eastAsia="方正仿宋_GBK" w:cs="方正仿宋_GBK"/>
        </w:rPr>
        <w:t>流程方案</w:t>
      </w:r>
      <w:r>
        <w:rPr>
          <w:rFonts w:hint="eastAsia" w:ascii="方正仿宋_GBK" w:hAnsi="方正仿宋_GBK" w:eastAsia="方正仿宋_GBK" w:cs="方正仿宋_GBK"/>
          <w:lang w:eastAsia="zh"/>
        </w:rPr>
        <w:t>。</w:t>
      </w:r>
      <w:r>
        <w:rPr>
          <w:rFonts w:hint="eastAsia" w:ascii="方正仿宋_GBK" w:hAnsi="方正仿宋_GBK" w:eastAsia="方正仿宋_GBK" w:cs="方正仿宋_GBK"/>
          <w:lang w:val="en-US" w:eastAsia="zh-CN"/>
        </w:rPr>
        <w:t>规范灾后恢复重建工作，</w:t>
      </w:r>
      <w:r>
        <w:rPr>
          <w:rFonts w:hint="eastAsia" w:ascii="方正仿宋_GBK" w:hAnsi="方正仿宋_GBK" w:eastAsia="方正仿宋_GBK" w:cs="方正仿宋_GBK"/>
          <w:lang w:val="en-US" w:eastAsia="zh"/>
        </w:rPr>
        <w:t>强化选址风险评估，降低重建区域灾害风险</w:t>
      </w:r>
      <w:r>
        <w:rPr>
          <w:rFonts w:hint="eastAsia" w:ascii="方正仿宋_GBK" w:hAnsi="方正仿宋_GBK" w:eastAsia="方正仿宋_GBK" w:cs="方正仿宋_GBK"/>
          <w:lang w:val="en-US" w:eastAsia="zh-CN"/>
        </w:rPr>
        <w:t>。</w:t>
      </w:r>
    </w:p>
    <w:p>
      <w:pPr>
        <w:pStyle w:val="3"/>
        <w:bidi w:val="0"/>
        <w:rPr>
          <w:rFonts w:hint="eastAsia" w:ascii="方正楷体_GBK" w:hAnsi="方正楷体_GBK" w:eastAsia="方正楷体_GBK" w:cs="方正楷体_GBK"/>
          <w:color w:val="auto"/>
          <w:highlight w:val="none"/>
          <w:lang w:val="en-US" w:eastAsia="zh-CN"/>
        </w:rPr>
      </w:pPr>
      <w:bookmarkStart w:id="177" w:name="_Toc24549"/>
      <w:bookmarkStart w:id="178" w:name="_Toc17809"/>
      <w:bookmarkStart w:id="179" w:name="_Toc3963"/>
      <w:bookmarkStart w:id="180" w:name="_Toc3957"/>
      <w:bookmarkStart w:id="181" w:name="_Toc12387"/>
      <w:bookmarkStart w:id="182" w:name="_Toc14099"/>
      <w:r>
        <w:rPr>
          <w:rFonts w:hint="eastAsia" w:ascii="方正楷体_GBK" w:hAnsi="方正楷体_GBK" w:eastAsia="方正楷体_GBK" w:cs="方正楷体_GBK"/>
          <w:color w:val="auto"/>
          <w:highlight w:val="none"/>
          <w:lang w:val="en-US" w:eastAsia="zh-CN"/>
        </w:rPr>
        <w:t>（五）健全应急救援体系</w:t>
      </w:r>
      <w:bookmarkEnd w:id="177"/>
      <w:bookmarkEnd w:id="178"/>
      <w:bookmarkEnd w:id="179"/>
      <w:bookmarkEnd w:id="180"/>
      <w:bookmarkEnd w:id="181"/>
      <w:bookmarkEnd w:id="182"/>
    </w:p>
    <w:p>
      <w:pPr>
        <w:widowControl/>
        <w:overflowPunct/>
        <w:autoSpaceDE/>
        <w:bidi w:val="0"/>
        <w:spacing w:line="560" w:lineRule="exact"/>
        <w:ind w:firstLine="0"/>
        <w:jc w:val="left"/>
        <w:rPr>
          <w:rFonts w:hint="eastAsia" w:ascii="方正仿宋_GBK" w:hAnsi="方正仿宋_GBK" w:eastAsia="方正仿宋_GBK" w:cs="方正仿宋_GBK"/>
          <w:lang w:val="en-US" w:eastAsia="zh-CN"/>
        </w:rPr>
      </w:pPr>
      <w:bookmarkStart w:id="183" w:name="_Toc564456202"/>
      <w:bookmarkStart w:id="184" w:name="_Toc17953"/>
      <w:bookmarkStart w:id="185" w:name="_Toc7690"/>
      <w:bookmarkStart w:id="186" w:name="_Toc1343305700"/>
      <w:bookmarkStart w:id="187" w:name="_Toc796828244"/>
      <w:bookmarkStart w:id="188" w:name="_Toc23937"/>
      <w:bookmarkStart w:id="189" w:name="_Toc23726"/>
      <w:bookmarkStart w:id="190" w:name="_Toc1584911181"/>
      <w:bookmarkStart w:id="191" w:name="_Toc330486728"/>
      <w:bookmarkStart w:id="192" w:name="_Toc23452"/>
      <w:bookmarkStart w:id="193" w:name="_Toc49919673"/>
      <w:bookmarkStart w:id="194" w:name="_Toc799706369"/>
      <w:bookmarkStart w:id="195" w:name="_Toc1722785199"/>
      <w:bookmarkStart w:id="196" w:name="_Toc2004238736"/>
      <w:bookmarkStart w:id="197" w:name="_Toc366"/>
      <w:bookmarkStart w:id="198" w:name="_Toc1807247078"/>
      <w:bookmarkStart w:id="199" w:name="_Toc9922"/>
      <w:bookmarkStart w:id="200" w:name="_Toc1651390105"/>
      <w:bookmarkStart w:id="201" w:name="_Toc29274"/>
      <w:bookmarkStart w:id="202" w:name="_Toc264008008"/>
      <w:r>
        <w:rPr>
          <w:rFonts w:hint="eastAsia" w:ascii="方正仿宋_GBK" w:hAnsi="方正仿宋_GBK" w:eastAsia="方正仿宋_GBK" w:cs="方正仿宋_GBK"/>
          <w:b/>
          <w:bCs/>
          <w:lang w:val="en-US" w:eastAsia="zh-CN"/>
        </w:rPr>
        <w:t>建强专业应急救援力量</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聚焦“全灾种、大应急”实战需要，</w:t>
      </w:r>
      <w:r>
        <w:rPr>
          <w:rFonts w:hint="eastAsia" w:ascii="方正仿宋_GBK" w:hAnsi="方正仿宋_GBK" w:eastAsia="方正仿宋_GBK" w:cs="方正仿宋_GBK"/>
          <w:lang w:val="en-US" w:eastAsia="zh"/>
        </w:rPr>
        <w:t>强化</w:t>
      </w:r>
      <w:r>
        <w:rPr>
          <w:rFonts w:hint="eastAsia" w:ascii="方正仿宋_GBK" w:hAnsi="方正仿宋_GBK" w:eastAsia="方正仿宋_GBK" w:cs="方正仿宋_GBK"/>
          <w:lang w:val="en-US" w:eastAsia="zh-CN"/>
        </w:rPr>
        <w:t>国家综合性消防救援队伍多灾种应急救援</w:t>
      </w:r>
      <w:r>
        <w:rPr>
          <w:rFonts w:hint="eastAsia" w:ascii="方正仿宋_GBK" w:hAnsi="方正仿宋_GBK" w:eastAsia="方正仿宋_GBK" w:cs="方正仿宋_GBK"/>
          <w:lang w:val="en-US" w:eastAsia="zh"/>
        </w:rPr>
        <w:t>能力</w:t>
      </w:r>
      <w:r>
        <w:rPr>
          <w:rFonts w:hint="eastAsia" w:ascii="方正仿宋_GBK" w:hAnsi="方正仿宋_GBK" w:eastAsia="方正仿宋_GBK" w:cs="方正仿宋_GBK"/>
        </w:rPr>
        <w:t>建设</w:t>
      </w:r>
      <w:r>
        <w:rPr>
          <w:rFonts w:hint="eastAsia" w:ascii="方正仿宋_GBK" w:hAnsi="方正仿宋_GBK" w:eastAsia="方正仿宋_GBK" w:cs="方正仿宋_GBK"/>
          <w:lang w:val="en-US" w:eastAsia="zh-CN"/>
        </w:rPr>
        <w:t>。建强森林火灾扑救、</w:t>
      </w:r>
      <w:r>
        <w:rPr>
          <w:rFonts w:hint="eastAsia" w:ascii="方正仿宋_GBK" w:hAnsi="方正仿宋_GBK" w:eastAsia="方正仿宋_GBK" w:cs="方正仿宋_GBK"/>
          <w:lang w:val="en-US" w:eastAsia="zh"/>
        </w:rPr>
        <w:t>三防抢险</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
        </w:rPr>
        <w:t>危险化学品、建筑</w:t>
      </w:r>
      <w:r>
        <w:rPr>
          <w:rFonts w:hint="eastAsia" w:ascii="方正仿宋_GBK" w:hAnsi="方正仿宋_GBK" w:eastAsia="方正仿宋_GBK" w:cs="方正仿宋_GBK"/>
          <w:lang w:val="en-US" w:eastAsia="zh-CN"/>
        </w:rPr>
        <w:t>施工</w:t>
      </w:r>
      <w:r>
        <w:rPr>
          <w:rFonts w:hint="eastAsia" w:ascii="方正仿宋_GBK" w:hAnsi="方正仿宋_GBK" w:eastAsia="方正仿宋_GBK" w:cs="方正仿宋_GBK"/>
          <w:lang w:val="en-US" w:eastAsia="zh"/>
        </w:rPr>
        <w:t>、道路交通、水上搜救等</w:t>
      </w:r>
      <w:r>
        <w:rPr>
          <w:rFonts w:hint="eastAsia" w:ascii="方正仿宋_GBK" w:hAnsi="方正仿宋_GBK" w:eastAsia="方正仿宋_GBK" w:cs="方正仿宋_GBK"/>
          <w:lang w:val="en-US" w:eastAsia="zh-CN"/>
        </w:rPr>
        <w:t>专业救援力量。依托东南区域应急救援中心开展应急航空救援能力建设，完善航空场站和野外起降点布局。强化专业队伍装备、物资、经费与职业保障，完善救援队伍人才培养与救援补助制度，探索建立救援队伍与技术骨干、行业专家联络机制，强化专业培训与技术支撑，</w:t>
      </w:r>
      <w:r>
        <w:rPr>
          <w:rFonts w:hint="eastAsia" w:ascii="方正仿宋_GBK" w:hAnsi="方正仿宋_GBK" w:eastAsia="方正仿宋_GBK" w:cs="方正仿宋_GBK"/>
          <w:lang w:val="en-US" w:eastAsia="zh"/>
        </w:rPr>
        <w:t>提升</w:t>
      </w:r>
      <w:r>
        <w:rPr>
          <w:rFonts w:hint="eastAsia" w:ascii="方正仿宋_GBK" w:hAnsi="方正仿宋_GBK" w:eastAsia="方正仿宋_GBK" w:cs="方正仿宋_GBK"/>
          <w:lang w:val="en-US" w:eastAsia="zh-CN"/>
        </w:rPr>
        <w:t>救援专业化水平。</w:t>
      </w:r>
      <w:bookmarkStart w:id="203" w:name="_Toc75775183"/>
      <w:bookmarkStart w:id="204" w:name="_Toc1465630216"/>
      <w:bookmarkStart w:id="205" w:name="_Toc1120698952"/>
      <w:bookmarkStart w:id="206" w:name="_Toc1472091293"/>
      <w:bookmarkStart w:id="207" w:name="_Toc1836751104"/>
      <w:bookmarkStart w:id="208" w:name="_Toc1108814217"/>
      <w:bookmarkStart w:id="209" w:name="_Toc26067"/>
      <w:bookmarkStart w:id="210" w:name="_Toc445701373"/>
      <w:bookmarkStart w:id="211" w:name="_Toc30858"/>
      <w:bookmarkStart w:id="212" w:name="_Toc1623463889"/>
      <w:bookmarkStart w:id="213" w:name="_Toc8803"/>
      <w:bookmarkStart w:id="214" w:name="_Toc10699"/>
      <w:bookmarkStart w:id="215" w:name="_Toc14771"/>
      <w:bookmarkStart w:id="216" w:name="_Toc127982752"/>
      <w:bookmarkStart w:id="217" w:name="_Toc1467536310"/>
      <w:bookmarkStart w:id="218" w:name="_Toc22245"/>
      <w:bookmarkStart w:id="219" w:name="_Toc1954809853"/>
      <w:bookmarkStart w:id="220" w:name="_Toc1199897271"/>
    </w:p>
    <w:p>
      <w:pPr>
        <w:overflowPunct/>
        <w:autoSpaceDE/>
        <w:bidi w:val="0"/>
        <w:spacing w:line="560" w:lineRule="exact"/>
        <w:ind w:firstLine="0"/>
        <w:rPr>
          <w:rFonts w:hint="default" w:ascii="方正仿宋_GBK" w:hAnsi="方正仿宋_GBK" w:eastAsia="方正仿宋_GBK" w:cs="方正仿宋_GBK"/>
          <w:lang w:val="en-US" w:eastAsia="zh-CN"/>
        </w:rPr>
      </w:pPr>
      <w:bookmarkStart w:id="221" w:name="_Toc25607"/>
      <w:bookmarkStart w:id="222" w:name="_Toc4688"/>
      <w:r>
        <w:rPr>
          <w:rFonts w:hint="eastAsia" w:ascii="方正仿宋_GBK" w:hAnsi="方正仿宋_GBK" w:eastAsia="方正仿宋_GBK" w:cs="方正仿宋_GBK"/>
          <w:b/>
          <w:bCs/>
          <w:lang w:val="en-US" w:eastAsia="zh"/>
        </w:rPr>
        <w:t>发展基层应急补充力量</w:t>
      </w:r>
      <w:bookmarkEnd w:id="221"/>
      <w:bookmarkEnd w:id="222"/>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加强镇村应急</w:t>
      </w:r>
      <w:r>
        <w:rPr>
          <w:rFonts w:hint="eastAsia" w:ascii="方正仿宋_GBK" w:hAnsi="方正仿宋_GBK" w:eastAsia="方正仿宋_GBK" w:cs="方正仿宋_GBK"/>
          <w:lang w:val="en-US" w:eastAsia="zh"/>
        </w:rPr>
        <w:t>救援</w:t>
      </w:r>
      <w:r>
        <w:rPr>
          <w:rFonts w:hint="eastAsia" w:ascii="方正仿宋_GBK" w:hAnsi="方正仿宋_GBK" w:eastAsia="方正仿宋_GBK" w:cs="方正仿宋_GBK"/>
          <w:lang w:val="en-US" w:eastAsia="zh-CN"/>
        </w:rPr>
        <w:t>力量建设，</w:t>
      </w:r>
      <w:r>
        <w:rPr>
          <w:rFonts w:hint="eastAsia" w:ascii="方正仿宋_GBK" w:hAnsi="方正仿宋_GBK" w:eastAsia="方正仿宋_GBK" w:cs="方正仿宋_GBK"/>
          <w:lang w:val="en-US" w:eastAsia="zh"/>
        </w:rPr>
        <w:t>推动</w:t>
      </w:r>
      <w:r>
        <w:rPr>
          <w:rFonts w:hint="eastAsia" w:ascii="方正仿宋_GBK" w:hAnsi="方正仿宋_GBK" w:eastAsia="方正仿宋_GBK" w:cs="方正仿宋_GBK"/>
          <w:lang w:val="en-US" w:eastAsia="zh-CN"/>
        </w:rPr>
        <w:t>镇街建设“应消合一、队站一体”</w:t>
      </w:r>
      <w:r>
        <w:rPr>
          <w:rFonts w:hint="eastAsia" w:ascii="方正仿宋_GBK" w:hAnsi="方正仿宋_GBK" w:eastAsia="方正仿宋_GBK" w:cs="方正仿宋_GBK"/>
          <w:lang w:eastAsia="zh"/>
        </w:rPr>
        <w:t>综合救援站。</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r>
        <w:rPr>
          <w:rFonts w:hint="eastAsia" w:ascii="方正仿宋_GBK" w:hAnsi="方正仿宋_GBK" w:eastAsia="方正仿宋_GBK" w:cs="方正仿宋_GBK"/>
          <w:lang w:val="en-US" w:eastAsia="zh-CN"/>
        </w:rPr>
        <w:t>督促重点行业企业落实安全生产法定义务，规范建设专兼职应急救援队伍。依托企业专职救援力量、微型消防站以及民兵、预备役人员、物业管理人员、保安员、医务人员等组建村社基层应急队伍，推动基层应急队伍</w:t>
      </w:r>
      <w:r>
        <w:rPr>
          <w:rFonts w:hint="eastAsia" w:ascii="方正仿宋_GBK" w:hAnsi="方正仿宋_GBK" w:eastAsia="方正仿宋_GBK" w:cs="方正仿宋_GBK"/>
          <w:lang w:val="en-US" w:eastAsia="zh"/>
        </w:rPr>
        <w:t>体系化编组</w:t>
      </w:r>
      <w:r>
        <w:rPr>
          <w:rFonts w:hint="eastAsia" w:ascii="方正仿宋_GBK" w:hAnsi="方正仿宋_GBK" w:eastAsia="方正仿宋_GBK" w:cs="方正仿宋_GBK"/>
          <w:lang w:val="en-US" w:eastAsia="zh-CN"/>
        </w:rPr>
        <w:t>，健全基层应急队伍对接调度、管理培训、应急响应等机制，提升协同作战能力。完善社会应急力量参与救援经济补偿机制，加大社会应急力量扶持力度。</w:t>
      </w:r>
      <w:r>
        <w:rPr>
          <w:rFonts w:hint="eastAsia" w:ascii="方正仿宋_GBK" w:hAnsi="方正仿宋_GBK" w:eastAsia="方正仿宋_GBK" w:cs="方正仿宋_GBK"/>
          <w:lang w:val="en-US" w:eastAsia="zh-CN"/>
        </w:rPr>
        <w:tab/>
      </w:r>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223" w:name="_Toc32531"/>
      <w:bookmarkStart w:id="224" w:name="_Toc11793"/>
      <w:bookmarkStart w:id="225" w:name="_Toc27093"/>
      <w:bookmarkStart w:id="226" w:name="_Toc5436"/>
      <w:bookmarkStart w:id="227" w:name="_Toc9884"/>
      <w:r>
        <w:rPr>
          <w:rFonts w:hint="eastAsia" w:ascii="方正仿宋_GBK" w:hAnsi="方正仿宋_GBK" w:eastAsia="方正仿宋_GBK" w:cs="方正仿宋_GBK"/>
          <w:b/>
          <w:bCs/>
          <w:lang w:val="en-US" w:eastAsia="zh-CN"/>
        </w:rPr>
        <w:t>强化应急救援实战演训</w:t>
      </w:r>
      <w:bookmarkEnd w:id="223"/>
      <w:bookmarkEnd w:id="224"/>
      <w:bookmarkEnd w:id="225"/>
      <w:bookmarkEnd w:id="226"/>
      <w:bookmarkEnd w:id="227"/>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健全综合性消防救援队伍、各类专业救援队伍和社会救援力量联调联训联战机制，优化力量编成，提升协同作战能力。坚持实战导向，构建“常态化演练、专业化评估、闭环式提升”的演训体系，科学制定年度演训计划，聚焦典型事故灾害场景，针对性开展实战演练。健全演练评估与复盘机制，</w:t>
      </w:r>
      <w:r>
        <w:rPr>
          <w:rFonts w:hint="eastAsia" w:ascii="方正仿宋_GBK" w:hAnsi="方正仿宋_GBK" w:eastAsia="方正仿宋_GBK" w:cs="方正仿宋_GBK"/>
          <w:lang w:val="en-US" w:eastAsia="zh"/>
        </w:rPr>
        <w:t>强化演练问题总结与整改</w:t>
      </w:r>
      <w:r>
        <w:rPr>
          <w:rFonts w:hint="eastAsia" w:ascii="方正仿宋_GBK" w:hAnsi="方正仿宋_GBK" w:eastAsia="方正仿宋_GBK" w:cs="方正仿宋_GBK"/>
          <w:lang w:val="en-US" w:eastAsia="zh-CN"/>
        </w:rPr>
        <w:t>，推动预案优化、机制完善、能力提升。</w:t>
      </w:r>
    </w:p>
    <w:p>
      <w:pPr>
        <w:pStyle w:val="3"/>
        <w:bidi w:val="0"/>
        <w:rPr>
          <w:rFonts w:hint="eastAsia" w:ascii="方正楷体_GBK" w:hAnsi="方正楷体_GBK" w:eastAsia="方正楷体_GBK" w:cs="方正楷体_GBK"/>
          <w:color w:val="auto"/>
          <w:highlight w:val="none"/>
          <w:lang w:val="en-US" w:eastAsia="zh-CN"/>
        </w:rPr>
      </w:pPr>
      <w:bookmarkStart w:id="228" w:name="_Toc16655"/>
      <w:bookmarkStart w:id="229" w:name="_Toc28465"/>
      <w:bookmarkStart w:id="230" w:name="_Toc8531"/>
      <w:bookmarkStart w:id="231" w:name="_Toc4832"/>
      <w:bookmarkStart w:id="232" w:name="_Toc31219"/>
      <w:bookmarkStart w:id="233" w:name="_Toc13445"/>
      <w:r>
        <w:rPr>
          <w:rFonts w:hint="eastAsia" w:ascii="方正楷体_GBK" w:hAnsi="方正楷体_GBK" w:eastAsia="方正楷体_GBK" w:cs="方正楷体_GBK"/>
          <w:color w:val="auto"/>
          <w:highlight w:val="none"/>
          <w:lang w:val="en-US" w:eastAsia="zh-CN"/>
        </w:rPr>
        <w:t>（六）健全支撑保障体系</w:t>
      </w:r>
      <w:bookmarkEnd w:id="228"/>
      <w:bookmarkEnd w:id="229"/>
      <w:bookmarkEnd w:id="230"/>
      <w:bookmarkEnd w:id="231"/>
      <w:bookmarkEnd w:id="232"/>
      <w:bookmarkEnd w:id="233"/>
    </w:p>
    <w:p>
      <w:pPr>
        <w:keepNext w:val="0"/>
        <w:keepLines w:val="0"/>
        <w:widowControl/>
        <w:overflowPunct w:val="0"/>
        <w:autoSpaceDE/>
        <w:bidi w:val="0"/>
        <w:snapToGrid w:val="0"/>
        <w:spacing w:line="560" w:lineRule="exact"/>
        <w:ind w:firstLine="0"/>
        <w:rPr>
          <w:rFonts w:hint="eastAsia" w:ascii="方正仿宋_GBK" w:hAnsi="方正仿宋_GBK" w:eastAsia="方正仿宋_GBK" w:cs="方正仿宋_GBK"/>
          <w:lang w:val="en-US" w:eastAsia="zh-CN"/>
        </w:rPr>
      </w:pPr>
      <w:bookmarkStart w:id="234" w:name="_Toc27504"/>
      <w:bookmarkStart w:id="235" w:name="_Toc20648"/>
      <w:bookmarkStart w:id="236" w:name="_Toc1976219716"/>
      <w:bookmarkStart w:id="237" w:name="_Toc1108305160"/>
      <w:bookmarkStart w:id="238" w:name="_Toc1081247784"/>
      <w:bookmarkStart w:id="239" w:name="_Toc668184328"/>
      <w:bookmarkStart w:id="240" w:name="_Toc1232969007"/>
      <w:bookmarkStart w:id="241" w:name="_Toc973604572"/>
      <w:bookmarkStart w:id="242" w:name="_Toc459859938"/>
      <w:bookmarkStart w:id="243" w:name="_Toc32707"/>
      <w:bookmarkStart w:id="244" w:name="_Toc1694398073"/>
      <w:bookmarkStart w:id="245" w:name="_Toc106765438"/>
      <w:r>
        <w:rPr>
          <w:rFonts w:hint="eastAsia" w:ascii="方正仿宋_GBK" w:hAnsi="方正仿宋_GBK" w:eastAsia="方正仿宋_GBK" w:cs="方正仿宋_GBK"/>
          <w:b/>
          <w:bCs/>
          <w:lang w:val="en-US" w:eastAsia="zh-CN"/>
        </w:rPr>
        <w:t>提升物资供应保障能力</w:t>
      </w:r>
      <w:bookmarkEnd w:id="234"/>
      <w:bookmarkEnd w:id="235"/>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建设完善各级救灾物资储备库，提升储备库硬件基础水平。健全</w:t>
      </w:r>
      <w:r>
        <w:rPr>
          <w:rFonts w:hint="eastAsia" w:ascii="方正仿宋_GBK" w:hAnsi="方正仿宋_GBK" w:eastAsia="方正仿宋_GBK" w:cs="方正仿宋_GBK"/>
          <w:lang w:eastAsia="zh-CN"/>
        </w:rPr>
        <w:t>应急物资重点保供企业联络机制，</w:t>
      </w:r>
      <w:r>
        <w:rPr>
          <w:rFonts w:hint="eastAsia" w:ascii="方正仿宋_GBK" w:hAnsi="方正仿宋_GBK" w:eastAsia="方正仿宋_GBK" w:cs="方正仿宋_GBK"/>
          <w:lang w:val="en-US" w:eastAsia="zh-CN"/>
        </w:rPr>
        <w:t>拓展社会储备和产能储备，</w:t>
      </w:r>
      <w:r>
        <w:rPr>
          <w:rFonts w:hint="eastAsia" w:ascii="方正仿宋_GBK" w:hAnsi="方正仿宋_GBK" w:eastAsia="方正仿宋_GBK" w:cs="方正仿宋_GBK"/>
          <w:lang w:eastAsia="zh-CN"/>
        </w:rPr>
        <w:t>完善应急物资保供体系。</w:t>
      </w:r>
      <w:r>
        <w:rPr>
          <w:rFonts w:hint="eastAsia" w:ascii="方正仿宋_GBK" w:hAnsi="方正仿宋_GBK" w:eastAsia="方正仿宋_GBK" w:cs="方正仿宋_GBK"/>
          <w:lang w:val="en-US" w:eastAsia="zh-CN"/>
        </w:rPr>
        <w:t>健全应急物资管理制度，提升物资信息化管理水平。</w:t>
      </w:r>
    </w:p>
    <w:bookmarkEnd w:id="236"/>
    <w:bookmarkEnd w:id="237"/>
    <w:bookmarkEnd w:id="238"/>
    <w:bookmarkEnd w:id="239"/>
    <w:bookmarkEnd w:id="240"/>
    <w:bookmarkEnd w:id="241"/>
    <w:bookmarkEnd w:id="242"/>
    <w:bookmarkEnd w:id="243"/>
    <w:bookmarkEnd w:id="244"/>
    <w:bookmarkEnd w:id="245"/>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246" w:name="_Toc3036"/>
      <w:bookmarkStart w:id="247" w:name="_Toc24000"/>
      <w:bookmarkStart w:id="248" w:name="_Toc150387311"/>
      <w:bookmarkStart w:id="249" w:name="_Toc541748422"/>
      <w:bookmarkStart w:id="250" w:name="_Toc1012819208"/>
      <w:bookmarkStart w:id="251" w:name="_Toc1923083900"/>
      <w:bookmarkStart w:id="252" w:name="_Toc915353890"/>
      <w:bookmarkStart w:id="253" w:name="_Toc884988678"/>
      <w:bookmarkStart w:id="254" w:name="_Toc7142"/>
      <w:bookmarkStart w:id="255" w:name="_Toc548649330"/>
      <w:bookmarkStart w:id="256" w:name="_Toc1121542968"/>
      <w:bookmarkStart w:id="257" w:name="_Toc2403"/>
      <w:bookmarkStart w:id="258" w:name="_Toc1726675810"/>
      <w:bookmarkStart w:id="259" w:name="_Toc23769"/>
      <w:bookmarkStart w:id="260" w:name="_Toc1585791584"/>
      <w:bookmarkStart w:id="261" w:name="_Toc32719"/>
      <w:bookmarkStart w:id="262" w:name="_Toc16172801"/>
      <w:bookmarkStart w:id="263" w:name="_Toc778264856"/>
      <w:bookmarkStart w:id="264" w:name="_Toc14727"/>
      <w:bookmarkStart w:id="265" w:name="_Toc21864"/>
      <w:r>
        <w:rPr>
          <w:rFonts w:hint="eastAsia" w:ascii="方正仿宋_GBK" w:hAnsi="方正仿宋_GBK" w:eastAsia="方正仿宋_GBK" w:cs="方正仿宋_GBK"/>
          <w:b/>
          <w:bCs/>
          <w:lang w:val="en-US" w:eastAsia="zh-CN"/>
        </w:rPr>
        <w:t>强化应急装备支撑</w:t>
      </w:r>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r>
        <w:rPr>
          <w:rFonts w:hint="eastAsia" w:ascii="方正仿宋_GBK" w:hAnsi="方正仿宋_GBK" w:eastAsia="方正仿宋_GBK" w:cs="方正仿宋_GBK"/>
          <w:b/>
          <w:bCs/>
          <w:lang w:val="en-US" w:eastAsia="zh"/>
        </w:rPr>
        <w:t>能力</w:t>
      </w:r>
      <w:bookmarkEnd w:id="264"/>
      <w:bookmarkEnd w:id="265"/>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聚焦实战需求，分级分类优化各级队伍装备配置。积极探索机器人、无人装备等新技术、新装备应用，强化新式</w:t>
      </w:r>
      <w:r>
        <w:rPr>
          <w:rFonts w:hint="eastAsia" w:ascii="方正仿宋_GBK" w:hAnsi="方正仿宋_GBK" w:eastAsia="方正仿宋_GBK" w:cs="方正仿宋_GBK"/>
          <w:lang w:val="en-US" w:eastAsia="zh"/>
        </w:rPr>
        <w:t>专业</w:t>
      </w:r>
      <w:r>
        <w:rPr>
          <w:rFonts w:hint="eastAsia" w:ascii="方正仿宋_GBK" w:hAnsi="方正仿宋_GBK" w:eastAsia="方正仿宋_GBK" w:cs="方正仿宋_GBK"/>
          <w:lang w:val="en-US" w:eastAsia="zh-CN"/>
        </w:rPr>
        <w:t>装备配备与装备人才培养，探索新式装备协同战法，培育新质应急救援能力。健全装备管理维护和保养制度，定期开展装备检修保养。强化装备实操训练，将装备操作培训纳入应急演训内容。依托应急产业园，推动本土装备企业与救援队伍联动，强化装备适配性改造，推动装备研发生产、演训试验、使用推广闭环提升。</w:t>
      </w:r>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266" w:name="_Toc8926"/>
      <w:bookmarkStart w:id="267" w:name="_Toc17664"/>
      <w:bookmarkStart w:id="268" w:name="_Toc22099"/>
      <w:bookmarkStart w:id="269" w:name="_Toc16816"/>
      <w:bookmarkStart w:id="270" w:name="_Toc9810"/>
      <w:bookmarkStart w:id="271" w:name="_Toc5357"/>
      <w:r>
        <w:rPr>
          <w:rFonts w:hint="eastAsia" w:ascii="方正仿宋_GBK" w:hAnsi="方正仿宋_GBK" w:eastAsia="方正仿宋_GBK" w:cs="方正仿宋_GBK"/>
          <w:b/>
          <w:bCs/>
          <w:lang w:val="en-US" w:eastAsia="zh-CN"/>
        </w:rPr>
        <w:t>优化完善应急避难场所</w:t>
      </w:r>
      <w:bookmarkEnd w:id="266"/>
      <w:bookmarkEnd w:id="267"/>
      <w:bookmarkEnd w:id="268"/>
      <w:bookmarkEnd w:id="269"/>
      <w:bookmarkEnd w:id="270"/>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开展存量应急避难场所调查评估和</w:t>
      </w:r>
      <w:r>
        <w:rPr>
          <w:rFonts w:hint="eastAsia" w:ascii="方正仿宋_GBK" w:hAnsi="方正仿宋_GBK" w:eastAsia="方正仿宋_GBK" w:cs="方正仿宋_GBK"/>
          <w:lang w:val="en-US" w:eastAsia="zh"/>
        </w:rPr>
        <w:t>应急避难场所规划，</w:t>
      </w:r>
      <w:r>
        <w:rPr>
          <w:rFonts w:hint="eastAsia" w:ascii="方正仿宋_GBK" w:hAnsi="方正仿宋_GBK" w:eastAsia="方正仿宋_GBK" w:cs="方正仿宋_GBK"/>
          <w:lang w:val="en-US" w:eastAsia="zh-CN"/>
        </w:rPr>
        <w:t>因地制宜、因灾布局</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科学</w:t>
      </w:r>
      <w:r>
        <w:rPr>
          <w:rFonts w:hint="eastAsia" w:ascii="方正仿宋_GBK" w:hAnsi="方正仿宋_GBK" w:eastAsia="方正仿宋_GBK" w:cs="方正仿宋_GBK"/>
          <w:lang w:val="en-US" w:eastAsia="zh"/>
        </w:rPr>
        <w:t>有序</w:t>
      </w:r>
      <w:r>
        <w:rPr>
          <w:rFonts w:hint="eastAsia" w:ascii="方正仿宋_GBK" w:hAnsi="方正仿宋_GBK" w:eastAsia="方正仿宋_GBK" w:cs="方正仿宋_GBK"/>
          <w:lang w:val="en-US" w:eastAsia="zh-CN"/>
        </w:rPr>
        <w:t>推进全市应急避难场所</w:t>
      </w:r>
      <w:r>
        <w:rPr>
          <w:rFonts w:hint="eastAsia" w:ascii="方正仿宋_GBK" w:hAnsi="方正仿宋_GBK" w:eastAsia="方正仿宋_GBK" w:cs="方正仿宋_GBK"/>
          <w:lang w:val="en-US" w:eastAsia="zh"/>
        </w:rPr>
        <w:t>建设与改造</w:t>
      </w:r>
      <w:r>
        <w:rPr>
          <w:rFonts w:hint="eastAsia" w:ascii="方正仿宋_GBK" w:hAnsi="方正仿宋_GBK" w:eastAsia="方正仿宋_GBK" w:cs="方正仿宋_GBK"/>
          <w:lang w:val="en-US" w:eastAsia="zh-CN"/>
        </w:rPr>
        <w:t>。推进城市</w:t>
      </w:r>
      <w:r>
        <w:rPr>
          <w:rFonts w:hint="eastAsia" w:ascii="方正仿宋_GBK" w:hAnsi="方正仿宋_GBK" w:eastAsia="方正仿宋_GBK" w:cs="方正仿宋_GBK"/>
          <w:lang w:val="en-US" w:eastAsia="zh"/>
        </w:rPr>
        <w:t>基础设施</w:t>
      </w:r>
      <w:r>
        <w:rPr>
          <w:rFonts w:hint="eastAsia" w:ascii="方正仿宋_GBK" w:hAnsi="方正仿宋_GBK" w:eastAsia="方正仿宋_GBK" w:cs="方正仿宋_GBK"/>
          <w:lang w:val="en-US" w:eastAsia="zh-CN"/>
        </w:rPr>
        <w:t>“平急两用”建设，支持</w:t>
      </w:r>
      <w:r>
        <w:rPr>
          <w:rFonts w:hint="eastAsia" w:ascii="方正仿宋_GBK" w:hAnsi="方正仿宋_GBK" w:eastAsia="方正仿宋_GBK" w:cs="方正仿宋_GBK"/>
          <w:lang w:val="en-US" w:eastAsia="zh"/>
        </w:rPr>
        <w:t>体育场馆、学校</w:t>
      </w:r>
      <w:r>
        <w:rPr>
          <w:rFonts w:hint="eastAsia" w:ascii="方正仿宋_GBK" w:hAnsi="方正仿宋_GBK" w:eastAsia="方正仿宋_GBK" w:cs="方正仿宋_GBK"/>
          <w:lang w:val="en-US" w:eastAsia="zh-CN"/>
        </w:rPr>
        <w:t>、旅游居住设施、农村民宿等开展“平急两用”改造。健全应急避难场所和“平急两用”设施管护机制，提升应急避难场所管养维护水平。</w:t>
      </w:r>
    </w:p>
    <w:bookmarkEnd w:id="271"/>
    <w:p>
      <w:pPr>
        <w:overflowPunct w:val="0"/>
        <w:autoSpaceDE/>
        <w:bidi w:val="0"/>
        <w:spacing w:line="560" w:lineRule="exact"/>
        <w:ind w:firstLine="0"/>
        <w:rPr>
          <w:rFonts w:hint="eastAsia" w:ascii="方正仿宋_GBK" w:hAnsi="方正仿宋_GBK" w:eastAsia="方正仿宋_GBK" w:cs="方正仿宋_GBK"/>
        </w:rPr>
      </w:pPr>
      <w:bookmarkStart w:id="272" w:name="_Toc2503"/>
      <w:bookmarkStart w:id="273" w:name="_Toc12569"/>
      <w:r>
        <w:rPr>
          <w:rFonts w:hint="eastAsia" w:ascii="方正仿宋_GBK" w:hAnsi="方正仿宋_GBK" w:eastAsia="方正仿宋_GBK" w:cs="方正仿宋_GBK"/>
          <w:b/>
          <w:bCs/>
          <w:lang w:val="en-US" w:eastAsia="zh-CN"/>
        </w:rPr>
        <w:t>提升应急通信保障能力</w:t>
      </w:r>
      <w:bookmarkEnd w:id="272"/>
      <w:bookmarkEnd w:id="273"/>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
        </w:rPr>
        <w:t>加强山区、岛屿</w:t>
      </w:r>
      <w:r>
        <w:rPr>
          <w:rFonts w:hint="eastAsia" w:ascii="方正仿宋_GBK" w:hAnsi="方正仿宋_GBK" w:eastAsia="方正仿宋_GBK" w:cs="方正仿宋_GBK"/>
          <w:lang w:val="en-US" w:eastAsia="zh-CN"/>
        </w:rPr>
        <w:t>等偏远地区</w:t>
      </w:r>
      <w:r>
        <w:rPr>
          <w:rFonts w:hint="eastAsia" w:ascii="方正仿宋_GBK" w:hAnsi="方正仿宋_GBK" w:eastAsia="方正仿宋_GBK" w:cs="方正仿宋_GBK"/>
          <w:lang w:val="en-US" w:eastAsia="zh"/>
        </w:rPr>
        <w:t>常态和应急双通道通信网络建设，</w:t>
      </w:r>
      <w:r>
        <w:rPr>
          <w:rFonts w:hint="eastAsia" w:ascii="方正仿宋_GBK" w:hAnsi="方正仿宋_GBK" w:eastAsia="方正仿宋_GBK" w:cs="方正仿宋_GBK"/>
          <w:lang w:val="en-US" w:eastAsia="zh-CN"/>
        </w:rPr>
        <w:t>对易受灾害影响的通信设施进行加固改造，提升极端条件下通信网络稳定性。</w:t>
      </w:r>
      <w:r>
        <w:rPr>
          <w:rFonts w:hint="eastAsia" w:ascii="方正仿宋_GBK" w:hAnsi="方正仿宋_GBK" w:eastAsia="方正仿宋_GBK" w:cs="方正仿宋_GBK"/>
          <w:lang w:eastAsia="zh"/>
        </w:rPr>
        <w:t>加强应急指挥车、卫星便携站、370MHz终端、卫星电话等应急指挥通信装备配备</w:t>
      </w:r>
      <w:r>
        <w:rPr>
          <w:rFonts w:hint="eastAsia" w:ascii="方正仿宋_GBK" w:hAnsi="方正仿宋_GBK" w:eastAsia="方正仿宋_GBK" w:cs="方正仿宋_GBK"/>
          <w:lang w:val="en-US" w:eastAsia="zh-CN"/>
        </w:rPr>
        <w:t>，建立“公网+专网+应急通信车</w:t>
      </w:r>
      <w:r>
        <w:rPr>
          <w:rFonts w:hint="eastAsia" w:ascii="方正仿宋_GBK" w:hAnsi="方正仿宋_GBK" w:eastAsia="方正仿宋_GBK" w:cs="方正仿宋_GBK"/>
          <w:lang w:val="en-US" w:eastAsia="zh"/>
        </w:rPr>
        <w:t>+卫星通信</w:t>
      </w:r>
      <w:r>
        <w:rPr>
          <w:rFonts w:hint="eastAsia" w:ascii="方正仿宋_GBK" w:hAnsi="方正仿宋_GBK" w:eastAsia="方正仿宋_GBK" w:cs="方正仿宋_GBK"/>
          <w:lang w:val="en-US" w:eastAsia="zh-CN"/>
        </w:rPr>
        <w:t>”联动机制，确保灾时应急通信不中断。加强基层应急通信技术</w:t>
      </w:r>
      <w:r>
        <w:rPr>
          <w:rFonts w:hint="eastAsia" w:ascii="方正仿宋_GBK" w:hAnsi="方正仿宋_GBK" w:eastAsia="方正仿宋_GBK" w:cs="方正仿宋_GBK"/>
          <w:lang w:val="en-US" w:eastAsia="zh"/>
        </w:rPr>
        <w:t>培训</w:t>
      </w:r>
      <w:r>
        <w:rPr>
          <w:rFonts w:hint="eastAsia" w:ascii="方正仿宋_GBK" w:hAnsi="方正仿宋_GBK" w:eastAsia="方正仿宋_GBK" w:cs="方正仿宋_GBK"/>
          <w:lang w:val="en-US" w:eastAsia="zh-CN"/>
        </w:rPr>
        <w:t>，提升基层应急通信保障能力。</w:t>
      </w:r>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274" w:name="_Toc16828"/>
      <w:bookmarkStart w:id="275" w:name="_Toc28061"/>
      <w:r>
        <w:rPr>
          <w:rFonts w:hint="eastAsia" w:ascii="方正仿宋_GBK" w:hAnsi="方正仿宋_GBK" w:eastAsia="方正仿宋_GBK" w:cs="方正仿宋_GBK"/>
          <w:b/>
          <w:bCs/>
          <w:lang w:val="en-US" w:eastAsia="zh-CN"/>
        </w:rPr>
        <w:t>强化科技创新支撑能力</w:t>
      </w:r>
      <w:bookmarkEnd w:id="274"/>
      <w:bookmarkEnd w:id="275"/>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以智慧应急建设为抓手，推动人工智能等新技术与应急管理平台深度融合，优化风险监测预警与评估、</w:t>
      </w:r>
      <w:r>
        <w:rPr>
          <w:rFonts w:hint="eastAsia" w:ascii="方正仿宋_GBK" w:hAnsi="方正仿宋_GBK" w:eastAsia="方正仿宋_GBK" w:cs="方正仿宋_GBK"/>
          <w:lang w:val="en-US" w:eastAsia="zh"/>
        </w:rPr>
        <w:t>安全执法监管、</w:t>
      </w:r>
      <w:r>
        <w:rPr>
          <w:rFonts w:hint="eastAsia" w:ascii="方正仿宋_GBK" w:hAnsi="方正仿宋_GBK" w:eastAsia="方正仿宋_GBK" w:cs="方正仿宋_GBK"/>
          <w:lang w:val="en-US" w:eastAsia="zh-CN"/>
        </w:rPr>
        <w:t>应急指挥调度、物资管理调配等功能模块，推动应急管理全场景数字化管控。鼓励支持应急管理领域创新研发，强化产学研用合作，发展适配潮州实际的智能化装备与技术。强化科技人才引进与培养，加强应急管理队伍科技素养培训。推动建立市级专家库，提升专业技术支撑能力。</w:t>
      </w:r>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276" w:name="_Toc28806"/>
      <w:bookmarkStart w:id="277" w:name="_Toc1045"/>
      <w:r>
        <w:rPr>
          <w:rFonts w:hint="eastAsia" w:ascii="方正仿宋_GBK" w:hAnsi="方正仿宋_GBK" w:eastAsia="方正仿宋_GBK" w:cs="方正仿宋_GBK"/>
          <w:b/>
          <w:bCs/>
          <w:lang w:val="en-US" w:eastAsia="zh-CN"/>
        </w:rPr>
        <w:t>推动安全应急产业发展</w:t>
      </w:r>
      <w:bookmarkEnd w:id="276"/>
      <w:bookmarkEnd w:id="277"/>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依托国家东南应急救援中心落地机遇，紧扣本地灾害防御需求和产业发展基础，</w:t>
      </w:r>
      <w:r>
        <w:rPr>
          <w:rFonts w:hint="eastAsia" w:ascii="方正仿宋_GBK" w:hAnsi="方正仿宋_GBK" w:eastAsia="方正仿宋_GBK" w:cs="方正仿宋_GBK"/>
          <w:lang w:val="en-US" w:eastAsia="zh"/>
        </w:rPr>
        <w:t>全力推动潮州市大岭山应急产业园建设，积极对接珠三角</w:t>
      </w:r>
      <w:r>
        <w:rPr>
          <w:rFonts w:hint="eastAsia" w:ascii="方正仿宋_GBK" w:hAnsi="方正仿宋_GBK" w:eastAsia="方正仿宋_GBK" w:cs="方正仿宋_GBK"/>
          <w:lang w:val="en-US" w:eastAsia="zh-CN"/>
        </w:rPr>
        <w:t>引进一批技术密集型、产业链带动性强的应急产业项目</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培育壮大本地现有应急相关骨干企业，构建“核心项目引领、本地企业配套、上下游协同发展”的产业格局。搭建应急产业供需对接平台，完善产业扶持政策，推动安全应急产业与本地制造业、服务业深度融合。</w:t>
      </w:r>
    </w:p>
    <w:p>
      <w:pPr>
        <w:pStyle w:val="3"/>
        <w:bidi w:val="0"/>
        <w:rPr>
          <w:rFonts w:hint="eastAsia" w:ascii="方正楷体_GBK" w:hAnsi="方正楷体_GBK" w:eastAsia="方正楷体_GBK" w:cs="方正楷体_GBK"/>
          <w:color w:val="auto"/>
          <w:highlight w:val="none"/>
          <w:lang w:val="en-US" w:eastAsia="zh-CN"/>
        </w:rPr>
      </w:pPr>
      <w:bookmarkStart w:id="278" w:name="_Toc6518"/>
      <w:bookmarkStart w:id="279" w:name="_Toc3375"/>
      <w:bookmarkStart w:id="280" w:name="_Toc29788"/>
      <w:bookmarkStart w:id="281" w:name="_Toc12878"/>
      <w:bookmarkStart w:id="282" w:name="_Toc14062"/>
      <w:bookmarkStart w:id="283" w:name="_Toc2769"/>
      <w:r>
        <w:rPr>
          <w:rFonts w:hint="eastAsia" w:ascii="方正楷体_GBK" w:hAnsi="方正楷体_GBK" w:eastAsia="方正楷体_GBK" w:cs="方正楷体_GBK"/>
          <w:color w:val="auto"/>
          <w:highlight w:val="none"/>
          <w:lang w:val="en-US" w:eastAsia="zh-CN"/>
        </w:rPr>
        <w:t>（七）健全</w:t>
      </w:r>
      <w:r>
        <w:rPr>
          <w:rFonts w:hint="eastAsia" w:ascii="方正楷体_GBK" w:hAnsi="方正楷体_GBK" w:eastAsia="方正楷体_GBK" w:cs="方正楷体_GBK"/>
          <w:color w:val="auto"/>
          <w:highlight w:val="none"/>
          <w:lang w:val="en-US" w:eastAsia="zh"/>
        </w:rPr>
        <w:t>社会</w:t>
      </w:r>
      <w:r>
        <w:rPr>
          <w:rFonts w:hint="eastAsia" w:ascii="方正楷体_GBK" w:hAnsi="方正楷体_GBK" w:eastAsia="方正楷体_GBK" w:cs="方正楷体_GBK"/>
          <w:color w:val="auto"/>
          <w:highlight w:val="none"/>
          <w:lang w:val="en-US" w:eastAsia="zh-CN"/>
        </w:rPr>
        <w:t>共治</w:t>
      </w:r>
      <w:r>
        <w:rPr>
          <w:rFonts w:hint="eastAsia" w:ascii="方正楷体_GBK" w:hAnsi="方正楷体_GBK" w:eastAsia="方正楷体_GBK" w:cs="方正楷体_GBK"/>
          <w:color w:val="auto"/>
          <w:highlight w:val="none"/>
          <w:lang w:val="en-US" w:eastAsia="zh"/>
        </w:rPr>
        <w:t>体系</w:t>
      </w:r>
      <w:bookmarkEnd w:id="278"/>
      <w:bookmarkEnd w:id="279"/>
      <w:bookmarkEnd w:id="280"/>
      <w:bookmarkEnd w:id="281"/>
      <w:bookmarkEnd w:id="282"/>
      <w:bookmarkEnd w:id="283"/>
    </w:p>
    <w:p>
      <w:pPr>
        <w:overflowPunct w:val="0"/>
        <w:autoSpaceDE/>
        <w:bidi w:val="0"/>
        <w:spacing w:line="560" w:lineRule="exact"/>
        <w:ind w:firstLine="0"/>
        <w:rPr>
          <w:rFonts w:hint="eastAsia" w:ascii="方正仿宋_GBK" w:hAnsi="方正仿宋_GBK" w:eastAsia="方正仿宋_GBK" w:cs="方正仿宋_GBK"/>
          <w:lang w:val="en-US" w:eastAsia="zh"/>
        </w:rPr>
      </w:pPr>
      <w:bookmarkStart w:id="284" w:name="_Toc24919"/>
      <w:bookmarkStart w:id="285" w:name="_Toc10233"/>
      <w:bookmarkStart w:id="286" w:name="_Toc18509"/>
      <w:r>
        <w:rPr>
          <w:rFonts w:hint="eastAsia" w:ascii="方正仿宋_GBK" w:hAnsi="方正仿宋_GBK" w:eastAsia="方正仿宋_GBK" w:cs="方正仿宋_GBK"/>
          <w:b/>
          <w:bCs/>
          <w:lang w:val="en-US" w:eastAsia="zh-CN"/>
        </w:rPr>
        <w:t>完善社会群众参与机制</w:t>
      </w:r>
      <w:bookmarkEnd w:id="284"/>
      <w:bookmarkEnd w:id="285"/>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健全基层应急参与机制，强化</w:t>
      </w:r>
      <w:r>
        <w:rPr>
          <w:rFonts w:hint="eastAsia" w:ascii="方正仿宋_GBK" w:hAnsi="方正仿宋_GBK" w:eastAsia="方正仿宋_GBK" w:cs="方正仿宋_GBK"/>
          <w:lang w:val="en-US" w:eastAsia="zh"/>
        </w:rPr>
        <w:t>志愿服务</w:t>
      </w:r>
      <w:r>
        <w:rPr>
          <w:rFonts w:hint="eastAsia" w:ascii="方正仿宋_GBK" w:hAnsi="方正仿宋_GBK" w:eastAsia="方正仿宋_GBK" w:cs="方正仿宋_GBK"/>
          <w:lang w:val="en-US" w:eastAsia="zh-CN"/>
        </w:rPr>
        <w:t>激励引导</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将参与应急救援保障、防灾减灾救灾、安全隐患报送等应急表现纳入党群志愿活动支持，落实志愿者保险、表彰奖励等政策，提升群众与社会组织参与积极性，营造“人人有责、人人尽责”的应急氛围。依托村（社区）党和群团组织、物业、保安、志愿者等组建应急</w:t>
      </w:r>
      <w:r>
        <w:rPr>
          <w:rFonts w:hint="eastAsia" w:ascii="方正仿宋_GBK" w:hAnsi="方正仿宋_GBK" w:eastAsia="方正仿宋_GBK" w:cs="方正仿宋_GBK"/>
          <w:lang w:val="en-US" w:eastAsia="zh"/>
        </w:rPr>
        <w:t>志愿</w:t>
      </w:r>
      <w:r>
        <w:rPr>
          <w:rFonts w:hint="eastAsia" w:ascii="方正仿宋_GBK" w:hAnsi="方正仿宋_GBK" w:eastAsia="方正仿宋_GBK" w:cs="方正仿宋_GBK"/>
          <w:lang w:val="en-US" w:eastAsia="zh-CN"/>
        </w:rPr>
        <w:t>服务队，</w:t>
      </w:r>
      <w:r>
        <w:rPr>
          <w:rFonts w:hint="eastAsia" w:ascii="方正仿宋_GBK" w:hAnsi="方正仿宋_GBK" w:eastAsia="方正仿宋_GBK" w:cs="方正仿宋_GBK"/>
          <w:lang w:val="en-US" w:eastAsia="zh"/>
        </w:rPr>
        <w:t>协助</w:t>
      </w:r>
      <w:r>
        <w:rPr>
          <w:rFonts w:hint="eastAsia" w:ascii="方正仿宋_GBK" w:hAnsi="方正仿宋_GBK" w:eastAsia="方正仿宋_GBK" w:cs="方正仿宋_GBK"/>
          <w:lang w:val="en-US" w:eastAsia="zh-CN"/>
        </w:rPr>
        <w:t>参与隐患排查、灾情巡查、应急避险引导、灾后清理、宣传教育等</w:t>
      </w:r>
      <w:r>
        <w:rPr>
          <w:rFonts w:hint="eastAsia" w:ascii="方正仿宋_GBK" w:hAnsi="方正仿宋_GBK" w:eastAsia="方正仿宋_GBK" w:cs="方正仿宋_GBK"/>
          <w:lang w:val="en-US" w:eastAsia="zh"/>
        </w:rPr>
        <w:t>工作</w:t>
      </w:r>
      <w:r>
        <w:rPr>
          <w:rFonts w:hint="eastAsia" w:ascii="方正仿宋_GBK" w:hAnsi="方正仿宋_GBK" w:eastAsia="方正仿宋_GBK" w:cs="方正仿宋_GBK"/>
          <w:lang w:val="en-US" w:eastAsia="zh-CN"/>
        </w:rPr>
        <w:t>。优化社会资源征用与补偿机制，构建法治化、可持续的社会化应急支撑格局</w:t>
      </w:r>
      <w:r>
        <w:rPr>
          <w:rFonts w:hint="eastAsia" w:ascii="方正仿宋_GBK" w:hAnsi="方正仿宋_GBK" w:eastAsia="方正仿宋_GBK" w:cs="方正仿宋_GBK"/>
          <w:lang w:val="en-US" w:eastAsia="zh"/>
        </w:rPr>
        <w:t>。</w:t>
      </w:r>
    </w:p>
    <w:p>
      <w:pPr>
        <w:keepNext w:val="0"/>
        <w:keepLines w:val="0"/>
        <w:pageBreakBefore w:val="0"/>
        <w:widowControl w:val="0"/>
        <w:numPr>
          <w:ilvl w:val="-1"/>
          <w:numId w:val="0"/>
        </w:numPr>
        <w:kinsoku/>
        <w:wordWrap/>
        <w:overflowPunct w:val="0"/>
        <w:topLinePunct w:val="0"/>
        <w:autoSpaceDE/>
        <w:autoSpaceDN/>
        <w:bidi w:val="0"/>
        <w:adjustRightInd w:val="0"/>
        <w:snapToGrid w:val="0"/>
        <w:spacing w:line="560" w:lineRule="exact"/>
        <w:ind w:firstLine="643" w:firstLineChars="200"/>
        <w:textAlignment w:val="auto"/>
        <w:rPr>
          <w:rFonts w:hint="eastAsia" w:ascii="方正仿宋_GBK" w:hAnsi="方正仿宋_GBK" w:eastAsia="方正仿宋_GBK" w:cs="方正仿宋_GBK"/>
          <w:lang w:val="en-US" w:eastAsia="zh-CN"/>
        </w:rPr>
      </w:pPr>
      <w:bookmarkStart w:id="287" w:name="_Toc5734"/>
      <w:bookmarkStart w:id="288" w:name="_Toc11359"/>
      <w:r>
        <w:rPr>
          <w:rFonts w:hint="eastAsia" w:ascii="方正仿宋_GBK" w:hAnsi="方正仿宋_GBK" w:eastAsia="方正仿宋_GBK" w:cs="方正仿宋_GBK"/>
          <w:b/>
          <w:bCs/>
          <w:lang w:val="en-US" w:eastAsia="zh"/>
        </w:rPr>
        <w:t>提升社会风险共担能力</w:t>
      </w:r>
      <w:bookmarkEnd w:id="287"/>
      <w:bookmarkEnd w:id="288"/>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深化应急保险机制建设，推动巨灾保险、安全生产责任险扩面提质，鼓励开发应急救援人员意外险、家庭财产灾害险等特色产品，完善“保险+应急”风险共担模式。强化行业协会协同作用，发挥行业协会桥梁纽带作用，推动行业建立风险联防联控机制，共享安全管理经验与应急资源，提升行业整体抗风险能力。</w:t>
      </w:r>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289" w:name="_Toc20186"/>
      <w:bookmarkStart w:id="290" w:name="_Toc12882"/>
      <w:bookmarkStart w:id="291" w:name="_Toc31681"/>
      <w:bookmarkStart w:id="292" w:name="_Toc3723"/>
      <w:bookmarkStart w:id="293" w:name="_Toc4838"/>
      <w:r>
        <w:rPr>
          <w:rFonts w:hint="eastAsia" w:ascii="方正仿宋_GBK" w:hAnsi="方正仿宋_GBK" w:eastAsia="方正仿宋_GBK" w:cs="方正仿宋_GBK"/>
          <w:b/>
          <w:bCs/>
          <w:lang w:val="en-US" w:eastAsia="zh"/>
        </w:rPr>
        <w:t>强化安全应急科普宣教</w:t>
      </w:r>
      <w:bookmarkEnd w:id="289"/>
      <w:bookmarkEnd w:id="290"/>
      <w:bookmarkEnd w:id="291"/>
      <w:bookmarkEnd w:id="292"/>
      <w:bookmarkEnd w:id="293"/>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丰富宣教渠道载体，依托政务新媒体、村（社区）宣传栏等阵地，</w:t>
      </w:r>
      <w:r>
        <w:rPr>
          <w:rFonts w:hint="eastAsia" w:ascii="方正仿宋_GBK" w:hAnsi="方正仿宋_GBK" w:eastAsia="方正仿宋_GBK" w:cs="方正仿宋_GBK"/>
          <w:b w:val="0"/>
          <w:bCs w:val="0"/>
          <w:lang w:val="en-US" w:eastAsia="zh-CN"/>
        </w:rPr>
        <w:t>建立</w:t>
      </w:r>
      <w:r>
        <w:rPr>
          <w:rFonts w:hint="eastAsia" w:ascii="方正仿宋_GBK" w:hAnsi="方正仿宋_GBK" w:eastAsia="方正仿宋_GBK" w:cs="方正仿宋_GBK"/>
          <w:lang w:val="en-US" w:eastAsia="zh-CN"/>
        </w:rPr>
        <w:t>线上线下融合的立体宣传网络，发展“演练+宣传”“执法+宣传”联动模式，因地制宜、因灾施策开展多样化科普宣传教育活动。结合潮州市风险特点，优化</w:t>
      </w:r>
      <w:r>
        <w:rPr>
          <w:rFonts w:hint="eastAsia" w:ascii="方正仿宋_GBK" w:hAnsi="方正仿宋_GBK" w:eastAsia="方正仿宋_GBK" w:cs="方正仿宋_GBK"/>
          <w:lang w:val="en-US" w:eastAsia="zh"/>
        </w:rPr>
        <w:t>科普</w:t>
      </w:r>
      <w:r>
        <w:rPr>
          <w:rFonts w:hint="eastAsia" w:ascii="方正仿宋_GBK" w:hAnsi="方正仿宋_GBK" w:eastAsia="方正仿宋_GBK" w:cs="方正仿宋_GBK"/>
          <w:lang w:val="en-US" w:eastAsia="zh-CN"/>
        </w:rPr>
        <w:t>宣教内容供给，打造潮州特色安全应急宣教品牌，强化对老人、</w:t>
      </w:r>
      <w:r>
        <w:rPr>
          <w:rFonts w:hint="eastAsia" w:ascii="方正仿宋_GBK" w:hAnsi="方正仿宋_GBK" w:eastAsia="方正仿宋_GBK" w:cs="方正仿宋_GBK"/>
          <w:lang w:val="en-US" w:eastAsia="zh"/>
        </w:rPr>
        <w:t>学生</w:t>
      </w:r>
      <w:r>
        <w:rPr>
          <w:rFonts w:hint="eastAsia" w:ascii="方正仿宋_GBK" w:hAnsi="方正仿宋_GBK" w:eastAsia="方正仿宋_GBK" w:cs="方正仿宋_GBK"/>
          <w:lang w:val="en-US" w:eastAsia="zh-CN"/>
        </w:rPr>
        <w:t>、渔民、企业员工等重点人群的精准宣教。持续开展安全宣传“五进”，</w:t>
      </w:r>
      <w:r>
        <w:rPr>
          <w:rFonts w:hint="eastAsia" w:ascii="方正仿宋_GBK" w:hAnsi="方正仿宋_GBK" w:eastAsia="方正仿宋_GBK" w:cs="方正仿宋_GBK"/>
          <w:lang w:val="en-US" w:eastAsia="zh"/>
        </w:rPr>
        <w:t>充分</w:t>
      </w:r>
      <w:r>
        <w:rPr>
          <w:rFonts w:hint="eastAsia" w:ascii="方正仿宋_GBK" w:hAnsi="方正仿宋_GBK" w:eastAsia="方正仿宋_GBK" w:cs="方正仿宋_GBK"/>
          <w:lang w:val="en-US" w:eastAsia="zh-CN"/>
        </w:rPr>
        <w:t>利用应急避难场所、</w:t>
      </w:r>
      <w:r>
        <w:rPr>
          <w:rFonts w:hint="eastAsia" w:ascii="方正仿宋_GBK" w:hAnsi="方正仿宋_GBK" w:eastAsia="方正仿宋_GBK" w:cs="方正仿宋_GBK"/>
          <w:lang w:val="en-US" w:eastAsia="zh"/>
        </w:rPr>
        <w:t>应急救援</w:t>
      </w:r>
      <w:r>
        <w:rPr>
          <w:rFonts w:hint="eastAsia" w:ascii="方正仿宋_GBK" w:hAnsi="方正仿宋_GBK" w:eastAsia="方正仿宋_GBK" w:cs="方正仿宋_GBK"/>
          <w:lang w:val="en-US" w:eastAsia="zh-CN"/>
        </w:rPr>
        <w:t>基地</w:t>
      </w:r>
      <w:r>
        <w:rPr>
          <w:rFonts w:hint="eastAsia" w:ascii="方正仿宋_GBK" w:hAnsi="方正仿宋_GBK" w:eastAsia="方正仿宋_GBK" w:cs="方正仿宋_GBK"/>
          <w:lang w:val="en-US" w:eastAsia="zh"/>
        </w:rPr>
        <w:t>、主题公园等场地</w:t>
      </w:r>
      <w:r>
        <w:rPr>
          <w:rFonts w:hint="eastAsia" w:ascii="方正仿宋_GBK" w:hAnsi="方正仿宋_GBK" w:eastAsia="方正仿宋_GBK" w:cs="方正仿宋_GBK"/>
          <w:lang w:val="en-US" w:eastAsia="zh-CN"/>
        </w:rPr>
        <w:t>开展沉浸式宣传科普。强化事故灾害警示教育和防灾避险典型案例宣传</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将警示教育纳入“开工第一课”、日常三级培训及特殊作业前安全交底。健全宣教长效机制，推动应急科普纳入国民教育、干部培训、企业安全教育体系，筑牢全民应急思想防线。</w:t>
      </w:r>
    </w:p>
    <w:bookmarkEnd w:id="286"/>
    <w:p>
      <w:pPr>
        <w:pStyle w:val="3"/>
        <w:bidi w:val="0"/>
        <w:rPr>
          <w:rFonts w:hint="eastAsia" w:ascii="方正楷体_GBK" w:hAnsi="方正楷体_GBK" w:eastAsia="方正楷体_GBK" w:cs="方正楷体_GBK"/>
          <w:color w:val="auto"/>
          <w:highlight w:val="none"/>
          <w:lang w:val="en-US" w:eastAsia="zh-CN"/>
        </w:rPr>
      </w:pPr>
      <w:bookmarkStart w:id="294" w:name="_Toc26445"/>
      <w:bookmarkStart w:id="295" w:name="_Toc1611"/>
      <w:bookmarkStart w:id="296" w:name="_Toc23087"/>
      <w:bookmarkStart w:id="297" w:name="_Toc25801"/>
      <w:bookmarkStart w:id="298" w:name="_Toc23368"/>
      <w:r>
        <w:rPr>
          <w:rFonts w:hint="eastAsia" w:ascii="方正楷体_GBK" w:hAnsi="方正楷体_GBK" w:eastAsia="方正楷体_GBK" w:cs="方正楷体_GBK"/>
          <w:color w:val="auto"/>
          <w:highlight w:val="none"/>
          <w:lang w:val="en-US" w:eastAsia="zh-CN"/>
        </w:rPr>
        <w:t>（八）健全地震防御体系</w:t>
      </w:r>
      <w:bookmarkEnd w:id="294"/>
      <w:bookmarkEnd w:id="295"/>
      <w:bookmarkEnd w:id="296"/>
      <w:bookmarkEnd w:id="297"/>
      <w:bookmarkEnd w:id="298"/>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299" w:name="_Toc21935"/>
      <w:bookmarkStart w:id="300" w:name="_Toc2374"/>
      <w:r>
        <w:rPr>
          <w:rFonts w:hint="eastAsia" w:ascii="方正仿宋_GBK" w:hAnsi="方正仿宋_GBK" w:eastAsia="方正仿宋_GBK" w:cs="方正仿宋_GBK"/>
          <w:b/>
          <w:bCs/>
          <w:lang w:val="en-US" w:eastAsia="zh"/>
        </w:rPr>
        <w:t>提升</w:t>
      </w:r>
      <w:r>
        <w:rPr>
          <w:rFonts w:hint="eastAsia" w:ascii="方正仿宋_GBK" w:hAnsi="方正仿宋_GBK" w:eastAsia="方正仿宋_GBK" w:cs="方正仿宋_GBK"/>
          <w:b/>
          <w:bCs/>
          <w:lang w:val="en-US" w:eastAsia="zh-CN"/>
        </w:rPr>
        <w:t>地震监测预警能力</w:t>
      </w:r>
      <w:bookmarkEnd w:id="299"/>
      <w:bookmarkEnd w:id="300"/>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落实《广东省地震监测站网规划（2021—2030年）》，优化监测站网布局，推动市县地震监测资源共建共享，夯实地震监测基础。推进重大建设工程强震动监测设施建设，融合人工智能技术，提升站网运维智能化水平。深化国家地震烈度速报和预警工程成果应用，完善地震预警行业应用，强化重点场所预警终端建设，拓展预警信息发布渠道，提升紧急地震信息服务范围。</w:t>
      </w:r>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301" w:name="_Toc31259"/>
      <w:bookmarkStart w:id="302" w:name="_Toc5760"/>
      <w:bookmarkStart w:id="303" w:name="_Toc24688"/>
      <w:bookmarkStart w:id="304" w:name="_Toc25148"/>
      <w:bookmarkStart w:id="305" w:name="_Toc1095"/>
      <w:r>
        <w:rPr>
          <w:rFonts w:hint="eastAsia" w:ascii="方正仿宋_GBK" w:hAnsi="方正仿宋_GBK" w:eastAsia="方正仿宋_GBK" w:cs="方正仿宋_GBK"/>
          <w:b/>
          <w:bCs/>
          <w:lang w:val="en-US" w:eastAsia="zh-CN"/>
        </w:rPr>
        <w:t>推进</w:t>
      </w:r>
      <w:r>
        <w:rPr>
          <w:rFonts w:hint="eastAsia" w:ascii="方正仿宋_GBK" w:hAnsi="方正仿宋_GBK" w:eastAsia="方正仿宋_GBK" w:cs="方正仿宋_GBK"/>
          <w:b/>
          <w:bCs/>
          <w:lang w:val="en-US" w:eastAsia="zh"/>
        </w:rPr>
        <w:t>抗震</w:t>
      </w:r>
      <w:r>
        <w:rPr>
          <w:rFonts w:hint="eastAsia" w:ascii="方正仿宋_GBK" w:hAnsi="方正仿宋_GBK" w:eastAsia="方正仿宋_GBK" w:cs="方正仿宋_GBK"/>
          <w:b/>
          <w:bCs/>
          <w:lang w:val="en-US" w:eastAsia="zh-CN"/>
        </w:rPr>
        <w:t>韧性城乡建设</w:t>
      </w:r>
      <w:bookmarkEnd w:id="301"/>
      <w:bookmarkEnd w:id="302"/>
      <w:bookmarkEnd w:id="303"/>
      <w:bookmarkEnd w:id="304"/>
      <w:bookmarkEnd w:id="305"/>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通过省市合作，推进韩江断裂、潮州－汕尾断裂潮州段地震构造环境探查，构建活断层三维模型，整合纳入市级灾害风险数据库。推进地震灾害风险评估，开展老旧城区、乡镇民居抗震性能普查，摸清风险底数。推进重大工程地震灾害风险感知和防控系统建设，构建城市生命线工程地震风险感知网络。严格执行抗震设防标准，加强建设工程抗震设防监管，持续推进地震易发区房屋设施加固工程，提升城乡抗震韧性。</w:t>
      </w:r>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306" w:name="_Toc30751"/>
      <w:bookmarkStart w:id="307" w:name="_Toc8928"/>
      <w:bookmarkStart w:id="308" w:name="_Toc5574"/>
      <w:bookmarkStart w:id="309" w:name="_Toc26867"/>
      <w:bookmarkStart w:id="310" w:name="_Toc29033"/>
      <w:r>
        <w:rPr>
          <w:rFonts w:hint="eastAsia" w:ascii="方正仿宋_GBK" w:hAnsi="方正仿宋_GBK" w:eastAsia="方正仿宋_GBK" w:cs="方正仿宋_GBK"/>
          <w:b/>
          <w:bCs/>
          <w:lang w:val="en-US" w:eastAsia="zh-CN"/>
        </w:rPr>
        <w:t>强化</w:t>
      </w:r>
      <w:r>
        <w:rPr>
          <w:rFonts w:hint="eastAsia" w:ascii="方正仿宋_GBK" w:hAnsi="方正仿宋_GBK" w:eastAsia="方正仿宋_GBK" w:cs="方正仿宋_GBK"/>
          <w:b/>
          <w:bCs/>
          <w:lang w:val="en-US" w:eastAsia="zh"/>
        </w:rPr>
        <w:t>地震应急演练准备</w:t>
      </w:r>
      <w:bookmarkEnd w:id="306"/>
      <w:bookmarkEnd w:id="307"/>
      <w:bookmarkEnd w:id="308"/>
      <w:bookmarkEnd w:id="309"/>
      <w:bookmarkEnd w:id="310"/>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修订完善各级地震应急预案，健全跨部门协同、军地应急联动机制。强化综合性消防救援力量与专业应急救援队伍抗震救灾能力，配齐生命探测、破拆救援等地震救援装备。完善政企协同应急救援机制，通过制度化协议将辖区电力、通信、工程机械等企业专业应急力量纳入统一指挥调度序列。加强重点场所和人群宣传培训，多渠道广泛普及地震知识，定期组织应急演练，增强群众地震灾害防范意识和避险自救能力。</w:t>
      </w:r>
    </w:p>
    <w:p>
      <w:pPr>
        <w:pStyle w:val="3"/>
        <w:bidi w:val="0"/>
        <w:rPr>
          <w:rFonts w:hint="default" w:ascii="方正楷体_GBK" w:hAnsi="方正楷体_GBK" w:eastAsia="方正楷体_GBK" w:cs="方正楷体_GBK"/>
          <w:color w:val="auto"/>
          <w:highlight w:val="none"/>
          <w:lang w:val="en-US" w:eastAsia="zh-CN"/>
        </w:rPr>
      </w:pPr>
      <w:bookmarkStart w:id="311" w:name="_Toc17975"/>
      <w:bookmarkStart w:id="312" w:name="_Toc25958"/>
      <w:bookmarkStart w:id="313" w:name="_Toc15231"/>
      <w:bookmarkStart w:id="314" w:name="_Toc14304"/>
      <w:bookmarkStart w:id="315" w:name="_Toc13299"/>
      <w:r>
        <w:rPr>
          <w:rFonts w:hint="eastAsia" w:ascii="方正楷体_GBK" w:hAnsi="方正楷体_GBK" w:eastAsia="方正楷体_GBK" w:cs="方正楷体_GBK"/>
          <w:color w:val="auto"/>
          <w:highlight w:val="none"/>
          <w:lang w:val="en-US" w:eastAsia="zh-CN"/>
        </w:rPr>
        <w:t>（九）健全森林防</w:t>
      </w:r>
      <w:r>
        <w:rPr>
          <w:rFonts w:hint="eastAsia" w:ascii="方正楷体_GBK" w:hAnsi="方正楷体_GBK" w:eastAsia="方正楷体_GBK" w:cs="方正楷体_GBK"/>
          <w:color w:val="auto"/>
          <w:highlight w:val="none"/>
          <w:lang w:val="en-US" w:eastAsia="zh"/>
        </w:rPr>
        <w:t>灭</w:t>
      </w:r>
      <w:r>
        <w:rPr>
          <w:rFonts w:hint="eastAsia" w:ascii="方正楷体_GBK" w:hAnsi="方正楷体_GBK" w:eastAsia="方正楷体_GBK" w:cs="方正楷体_GBK"/>
          <w:color w:val="auto"/>
          <w:highlight w:val="none"/>
          <w:lang w:val="en-US" w:eastAsia="zh-CN"/>
        </w:rPr>
        <w:t>火</w:t>
      </w:r>
      <w:r>
        <w:rPr>
          <w:rFonts w:hint="eastAsia" w:ascii="方正楷体_GBK" w:hAnsi="方正楷体_GBK" w:eastAsia="方正楷体_GBK" w:cs="方正楷体_GBK"/>
          <w:color w:val="auto"/>
          <w:highlight w:val="none"/>
          <w:lang w:val="en-US" w:eastAsia="zh"/>
        </w:rPr>
        <w:t>体系</w:t>
      </w:r>
      <w:bookmarkEnd w:id="311"/>
      <w:bookmarkEnd w:id="312"/>
      <w:bookmarkEnd w:id="313"/>
      <w:bookmarkEnd w:id="314"/>
      <w:bookmarkEnd w:id="315"/>
    </w:p>
    <w:p>
      <w:pPr>
        <w:overflowPunct w:val="0"/>
        <w:autoSpaceDE/>
        <w:bidi w:val="0"/>
        <w:spacing w:line="560" w:lineRule="exact"/>
        <w:ind w:firstLine="0"/>
        <w:rPr>
          <w:rFonts w:hint="eastAsia" w:ascii="方正仿宋_GBK" w:hAnsi="方正仿宋_GBK" w:eastAsia="方正仿宋_GBK" w:cs="方正仿宋_GBK"/>
          <w:lang w:val="en-US" w:eastAsia="zh-CN"/>
        </w:rPr>
      </w:pPr>
      <w:bookmarkStart w:id="316" w:name="_Toc5358"/>
      <w:bookmarkStart w:id="317" w:name="_Toc5725"/>
      <w:bookmarkStart w:id="318" w:name="_Toc25557"/>
      <w:bookmarkStart w:id="319" w:name="_Toc26409"/>
      <w:bookmarkStart w:id="320" w:name="_Toc2704"/>
      <w:r>
        <w:rPr>
          <w:rFonts w:hint="eastAsia" w:ascii="方正仿宋_GBK" w:hAnsi="方正仿宋_GBK" w:eastAsia="方正仿宋_GBK" w:cs="方正仿宋_GBK"/>
          <w:b/>
          <w:bCs/>
          <w:lang w:val="en-US" w:eastAsia="zh"/>
        </w:rPr>
        <w:t>强化森林火灾风险防控</w:t>
      </w:r>
      <w:bookmarkEnd w:id="316"/>
      <w:bookmarkEnd w:id="317"/>
      <w:bookmarkEnd w:id="318"/>
      <w:bookmarkEnd w:id="319"/>
      <w:bookmarkEnd w:id="320"/>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b w:val="0"/>
          <w:bCs w:val="0"/>
          <w:lang w:val="en-US" w:eastAsia="zh-CN"/>
        </w:rPr>
        <w:t>开展</w:t>
      </w:r>
      <w:r>
        <w:rPr>
          <w:rFonts w:hint="eastAsia" w:ascii="方正仿宋_GBK" w:hAnsi="方正仿宋_GBK" w:eastAsia="方正仿宋_GBK" w:cs="方正仿宋_GBK"/>
          <w:lang w:val="en-US" w:eastAsia="zh"/>
        </w:rPr>
        <w:t>森林火灾</w:t>
      </w:r>
      <w:r>
        <w:rPr>
          <w:rFonts w:hint="eastAsia" w:ascii="方正仿宋_GBK" w:hAnsi="方正仿宋_GBK" w:eastAsia="方正仿宋_GBK" w:cs="方正仿宋_GBK"/>
          <w:lang w:val="en-US" w:eastAsia="zh-CN"/>
        </w:rPr>
        <w:t>风险</w:t>
      </w:r>
      <w:r>
        <w:rPr>
          <w:rFonts w:hint="eastAsia" w:ascii="方正仿宋_GBK" w:hAnsi="方正仿宋_GBK" w:eastAsia="方正仿宋_GBK" w:cs="方正仿宋_GBK"/>
          <w:lang w:val="en-US" w:eastAsia="zh"/>
        </w:rPr>
        <w:t>普查成果</w:t>
      </w:r>
      <w:r>
        <w:rPr>
          <w:rFonts w:hint="eastAsia" w:ascii="方正仿宋_GBK" w:hAnsi="方正仿宋_GBK" w:eastAsia="方正仿宋_GBK" w:cs="方正仿宋_GBK"/>
          <w:lang w:val="en-US" w:eastAsia="zh-CN"/>
        </w:rPr>
        <w:t>更新，</w:t>
      </w:r>
      <w:r>
        <w:rPr>
          <w:rFonts w:hint="eastAsia" w:ascii="方正仿宋_GBK" w:hAnsi="方正仿宋_GBK" w:eastAsia="方正仿宋_GBK" w:cs="方正仿宋_GBK"/>
          <w:lang w:val="en-US" w:eastAsia="zh"/>
        </w:rPr>
        <w:t>建立林区重点部位隐患台账，</w:t>
      </w:r>
      <w:r>
        <w:rPr>
          <w:rFonts w:hint="eastAsia" w:ascii="方正仿宋_GBK" w:hAnsi="方正仿宋_GBK" w:eastAsia="方正仿宋_GBK" w:cs="方正仿宋_GBK"/>
          <w:lang w:val="en-US" w:eastAsia="zh-CN"/>
        </w:rPr>
        <w:t>动态优化</w:t>
      </w:r>
      <w:r>
        <w:rPr>
          <w:rFonts w:hint="eastAsia" w:ascii="方正仿宋_GBK" w:hAnsi="方正仿宋_GBK" w:eastAsia="方正仿宋_GBK" w:cs="方正仿宋_GBK"/>
          <w:lang w:val="en-US" w:eastAsia="zh"/>
        </w:rPr>
        <w:t>风险</w:t>
      </w:r>
      <w:r>
        <w:rPr>
          <w:rFonts w:hint="eastAsia" w:ascii="方正仿宋_GBK" w:hAnsi="方正仿宋_GBK" w:eastAsia="方正仿宋_GBK" w:cs="方正仿宋_GBK"/>
          <w:lang w:val="en-US" w:eastAsia="zh-CN"/>
        </w:rPr>
        <w:t>防控重点。优化立体监测预警站点</w:t>
      </w:r>
      <w:r>
        <w:rPr>
          <w:rFonts w:hint="eastAsia" w:ascii="方正仿宋_GBK" w:hAnsi="方正仿宋_GBK" w:eastAsia="方正仿宋_GBK" w:cs="方正仿宋_GBK"/>
          <w:lang w:val="en-US" w:eastAsia="zh"/>
        </w:rPr>
        <w:t>布局</w:t>
      </w:r>
      <w:r>
        <w:rPr>
          <w:rFonts w:hint="eastAsia" w:ascii="方正仿宋_GBK" w:hAnsi="方正仿宋_GBK" w:eastAsia="方正仿宋_GBK" w:cs="方正仿宋_GBK"/>
          <w:lang w:val="en-US" w:eastAsia="zh-CN"/>
        </w:rPr>
        <w:t>，</w:t>
      </w:r>
      <w:r>
        <w:rPr>
          <w:rFonts w:hint="eastAsia" w:ascii="方正仿宋_GBK" w:hAnsi="方正仿宋_GBK" w:eastAsia="方正仿宋_GBK" w:cs="方正仿宋_GBK"/>
          <w:lang w:val="en-US" w:eastAsia="zh"/>
        </w:rPr>
        <w:t>加强</w:t>
      </w:r>
      <w:r>
        <w:rPr>
          <w:rFonts w:hint="eastAsia" w:ascii="方正仿宋_GBK" w:hAnsi="方正仿宋_GBK" w:eastAsia="方正仿宋_GBK" w:cs="方正仿宋_GBK"/>
          <w:lang w:val="en-US" w:eastAsia="zh-CN"/>
        </w:rPr>
        <w:t>监测站点</w:t>
      </w:r>
      <w:r>
        <w:rPr>
          <w:rFonts w:hint="eastAsia" w:ascii="方正仿宋_GBK" w:hAnsi="方正仿宋_GBK" w:eastAsia="方正仿宋_GBK" w:cs="方正仿宋_GBK"/>
          <w:lang w:val="en-US" w:eastAsia="zh"/>
        </w:rPr>
        <w:t>智能化升级与维护</w:t>
      </w:r>
      <w:r>
        <w:rPr>
          <w:rFonts w:hint="eastAsia" w:ascii="方正仿宋_GBK" w:hAnsi="方正仿宋_GBK" w:eastAsia="方正仿宋_GBK" w:cs="方正仿宋_GBK"/>
          <w:lang w:val="en-US" w:eastAsia="zh-CN"/>
        </w:rPr>
        <w:t>，搭配无人机、热成像技术提升</w:t>
      </w:r>
      <w:r>
        <w:rPr>
          <w:rFonts w:hint="eastAsia" w:ascii="方正仿宋_GBK" w:hAnsi="方正仿宋_GBK" w:eastAsia="方正仿宋_GBK" w:cs="方正仿宋_GBK"/>
          <w:lang w:val="en-US" w:eastAsia="zh"/>
        </w:rPr>
        <w:t>监测预警</w:t>
      </w:r>
      <w:r>
        <w:rPr>
          <w:rFonts w:hint="eastAsia" w:ascii="方正仿宋_GBK" w:hAnsi="方正仿宋_GBK" w:eastAsia="方正仿宋_GBK" w:cs="方正仿宋_GBK"/>
          <w:lang w:val="en-US" w:eastAsia="zh-CN"/>
        </w:rPr>
        <w:t>效能</w:t>
      </w:r>
      <w:r>
        <w:rPr>
          <w:rFonts w:hint="eastAsia" w:ascii="方正仿宋_GBK" w:hAnsi="方正仿宋_GBK" w:eastAsia="方正仿宋_GBK" w:cs="方正仿宋_GBK"/>
          <w:lang w:val="en-US" w:eastAsia="zh"/>
        </w:rPr>
        <w:t>。</w:t>
      </w:r>
      <w:r>
        <w:rPr>
          <w:rFonts w:hint="eastAsia" w:ascii="方正仿宋_GBK" w:hAnsi="方正仿宋_GBK" w:eastAsia="方正仿宋_GBK" w:cs="方正仿宋_GBK"/>
          <w:lang w:val="en-US" w:eastAsia="zh-CN"/>
        </w:rPr>
        <w:t>加强林火风险</w:t>
      </w:r>
      <w:r>
        <w:rPr>
          <w:rFonts w:hint="eastAsia" w:ascii="方正仿宋_GBK" w:hAnsi="方正仿宋_GBK" w:eastAsia="方正仿宋_GBK" w:cs="方正仿宋_GBK"/>
          <w:lang w:val="en-US" w:eastAsia="zh"/>
        </w:rPr>
        <w:t>联合会商</w:t>
      </w:r>
      <w:r>
        <w:rPr>
          <w:rFonts w:hint="eastAsia" w:ascii="方正仿宋_GBK" w:hAnsi="方正仿宋_GBK" w:eastAsia="方正仿宋_GBK" w:cs="方正仿宋_GBK"/>
          <w:lang w:val="en-US" w:eastAsia="zh-CN"/>
        </w:rPr>
        <w:t>与研判</w:t>
      </w:r>
      <w:r>
        <w:rPr>
          <w:rFonts w:hint="eastAsia" w:ascii="方正仿宋_GBK" w:hAnsi="方正仿宋_GBK" w:eastAsia="方正仿宋_GBK" w:cs="方正仿宋_GBK"/>
          <w:lang w:val="en-US" w:eastAsia="zh"/>
        </w:rPr>
        <w:t>，因地制宜制定高火险时段及传统祭祀节日防控举措。推进森林防火宣传教育基地建设，强化</w:t>
      </w:r>
      <w:r>
        <w:rPr>
          <w:rFonts w:hint="eastAsia" w:ascii="方正仿宋_GBK" w:hAnsi="方正仿宋_GBK" w:eastAsia="方正仿宋_GBK" w:cs="方正仿宋_GBK"/>
          <w:lang w:val="en-US" w:eastAsia="zh-CN"/>
        </w:rPr>
        <w:t>祭祀人员、进山作业人员、户外休闲人员、林区居住人员等</w:t>
      </w:r>
      <w:r>
        <w:rPr>
          <w:rFonts w:hint="eastAsia" w:ascii="方正仿宋_GBK" w:hAnsi="方正仿宋_GBK" w:eastAsia="方正仿宋_GBK" w:cs="方正仿宋_GBK"/>
          <w:lang w:val="en-US" w:eastAsia="zh"/>
        </w:rPr>
        <w:t>重点人群</w:t>
      </w:r>
      <w:r>
        <w:rPr>
          <w:rFonts w:hint="eastAsia" w:ascii="方正仿宋_GBK" w:hAnsi="方正仿宋_GBK" w:eastAsia="方正仿宋_GBK" w:cs="方正仿宋_GBK"/>
          <w:lang w:val="en-US" w:eastAsia="zh-CN"/>
        </w:rPr>
        <w:t>防</w:t>
      </w:r>
      <w:r>
        <w:rPr>
          <w:rFonts w:hint="eastAsia" w:ascii="方正仿宋_GBK" w:hAnsi="方正仿宋_GBK" w:eastAsia="方正仿宋_GBK" w:cs="方正仿宋_GBK"/>
          <w:lang w:val="en-US" w:eastAsia="zh"/>
        </w:rPr>
        <w:t>火知识普及</w:t>
      </w:r>
      <w:r>
        <w:rPr>
          <w:rFonts w:hint="eastAsia" w:ascii="方正仿宋_GBK" w:hAnsi="方正仿宋_GBK" w:eastAsia="方正仿宋_GBK" w:cs="方正仿宋_GBK"/>
          <w:lang w:val="en-US" w:eastAsia="zh-CN"/>
        </w:rPr>
        <w:t>、警示教育</w:t>
      </w:r>
      <w:r>
        <w:rPr>
          <w:rFonts w:hint="eastAsia" w:ascii="方正仿宋_GBK" w:hAnsi="方正仿宋_GBK" w:eastAsia="方正仿宋_GBK" w:cs="方正仿宋_GBK"/>
          <w:lang w:val="en-US" w:eastAsia="zh"/>
        </w:rPr>
        <w:t>和林区违规用火行为查处，从源头化解各类风险。</w:t>
      </w:r>
    </w:p>
    <w:p>
      <w:pPr>
        <w:bidi w:val="0"/>
        <w:rPr>
          <w:rFonts w:hint="eastAsia" w:ascii="方正仿宋_GBK" w:hAnsi="方正仿宋_GBK" w:eastAsia="方正仿宋_GBK" w:cs="方正仿宋_GBK"/>
          <w:lang w:val="en-US" w:eastAsia="zh-CN"/>
        </w:rPr>
      </w:pPr>
      <w:bookmarkStart w:id="321" w:name="_Toc19408"/>
      <w:bookmarkStart w:id="322" w:name="_Toc21635"/>
      <w:bookmarkStart w:id="323" w:name="_Toc11061"/>
      <w:bookmarkStart w:id="324" w:name="_Toc8542"/>
      <w:bookmarkStart w:id="325" w:name="_Toc24417"/>
      <w:r>
        <w:rPr>
          <w:rFonts w:hint="eastAsia" w:ascii="方正仿宋_GBK" w:hAnsi="方正仿宋_GBK" w:eastAsia="方正仿宋_GBK" w:cs="方正仿宋_GBK"/>
          <w:b/>
          <w:bCs/>
          <w:lang w:val="en-US" w:eastAsia="zh-CN"/>
        </w:rPr>
        <w:t>健全</w:t>
      </w:r>
      <w:r>
        <w:rPr>
          <w:rFonts w:hint="eastAsia" w:ascii="方正仿宋_GBK" w:hAnsi="方正仿宋_GBK" w:eastAsia="方正仿宋_GBK" w:cs="方正仿宋_GBK"/>
          <w:b/>
          <w:bCs/>
          <w:lang w:val="en-US" w:eastAsia="zh"/>
        </w:rPr>
        <w:t>森林</w:t>
      </w:r>
      <w:r>
        <w:rPr>
          <w:rFonts w:hint="eastAsia" w:ascii="方正仿宋_GBK" w:hAnsi="方正仿宋_GBK" w:eastAsia="方正仿宋_GBK" w:cs="方正仿宋_GBK"/>
          <w:b/>
          <w:bCs/>
          <w:lang w:val="en-US" w:eastAsia="zh-CN"/>
        </w:rPr>
        <w:t>防火基础设施</w:t>
      </w:r>
      <w:bookmarkEnd w:id="321"/>
      <w:bookmarkEnd w:id="322"/>
      <w:bookmarkEnd w:id="323"/>
      <w:bookmarkEnd w:id="324"/>
      <w:bookmarkEnd w:id="325"/>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eastAsia="zh"/>
        </w:rPr>
        <w:t>持续</w:t>
      </w:r>
      <w:r>
        <w:rPr>
          <w:rFonts w:hint="eastAsia" w:ascii="方正仿宋_GBK" w:hAnsi="方正仿宋_GBK" w:eastAsia="方正仿宋_GBK" w:cs="方正仿宋_GBK"/>
        </w:rPr>
        <w:t>推进</w:t>
      </w:r>
      <w:r>
        <w:rPr>
          <w:rFonts w:hint="eastAsia" w:ascii="方正仿宋_GBK" w:hAnsi="方正仿宋_GBK" w:eastAsia="方正仿宋_GBK" w:cs="方正仿宋_GBK"/>
          <w:lang w:eastAsia="zh"/>
        </w:rPr>
        <w:t>森林火灾</w:t>
      </w:r>
      <w:r>
        <w:rPr>
          <w:rFonts w:hint="eastAsia" w:ascii="方正仿宋_GBK" w:hAnsi="方正仿宋_GBK" w:eastAsia="方正仿宋_GBK" w:cs="方正仿宋_GBK"/>
        </w:rPr>
        <w:t>防火工程建设，完善防火道路，科学布设防火隔离带，配套建设</w:t>
      </w:r>
      <w:r>
        <w:rPr>
          <w:rFonts w:hint="eastAsia" w:ascii="方正仿宋_GBK" w:hAnsi="方正仿宋_GBK" w:eastAsia="方正仿宋_GBK" w:cs="方正仿宋_GBK"/>
          <w:lang w:eastAsia="zh"/>
        </w:rPr>
        <w:t>取水点、</w:t>
      </w:r>
      <w:r>
        <w:rPr>
          <w:rFonts w:hint="eastAsia" w:ascii="方正仿宋_GBK" w:hAnsi="方正仿宋_GBK" w:eastAsia="方正仿宋_GBK" w:cs="方正仿宋_GBK"/>
        </w:rPr>
        <w:t>蓄水池、消防管网</w:t>
      </w:r>
      <w:r>
        <w:rPr>
          <w:rFonts w:hint="eastAsia" w:ascii="方正仿宋_GBK" w:hAnsi="方正仿宋_GBK" w:eastAsia="方正仿宋_GBK" w:cs="方正仿宋_GBK"/>
          <w:lang w:eastAsia="zh"/>
        </w:rPr>
        <w:t>、消火栓</w:t>
      </w:r>
      <w:r>
        <w:rPr>
          <w:rFonts w:hint="eastAsia" w:ascii="方正仿宋_GBK" w:hAnsi="方正仿宋_GBK" w:eastAsia="方正仿宋_GBK" w:cs="方正仿宋_GBK"/>
        </w:rPr>
        <w:t>等以水灭火基础设施，形成立体防控格局。强化高风险区域及偏远林区通信保障，配齐一线卫星电话、</w:t>
      </w:r>
      <w:r>
        <w:rPr>
          <w:rFonts w:hint="eastAsia" w:ascii="方正仿宋_GBK" w:hAnsi="方正仿宋_GBK" w:eastAsia="方正仿宋_GBK" w:cs="方正仿宋_GBK"/>
          <w:lang w:eastAsia="zh"/>
        </w:rPr>
        <w:t>自组网终端</w:t>
      </w:r>
      <w:r>
        <w:rPr>
          <w:rFonts w:hint="eastAsia" w:ascii="方正仿宋_GBK" w:hAnsi="方正仿宋_GBK" w:eastAsia="方正仿宋_GBK" w:cs="方正仿宋_GBK"/>
        </w:rPr>
        <w:t>。</w:t>
      </w:r>
    </w:p>
    <w:p>
      <w:pPr>
        <w:bidi w:val="0"/>
        <w:rPr>
          <w:rFonts w:hint="eastAsia" w:ascii="方正仿宋_GBK" w:hAnsi="方正仿宋_GBK" w:eastAsia="方正仿宋_GBK" w:cs="方正仿宋_GBK"/>
          <w:lang w:val="en-US" w:eastAsia="zh-CN"/>
        </w:rPr>
      </w:pPr>
      <w:bookmarkStart w:id="326" w:name="_Toc28182"/>
      <w:bookmarkStart w:id="327" w:name="_Toc7052"/>
      <w:bookmarkStart w:id="328" w:name="_Toc8760"/>
      <w:bookmarkStart w:id="329" w:name="_Toc32334"/>
      <w:bookmarkStart w:id="330" w:name="_Toc20680"/>
      <w:r>
        <w:rPr>
          <w:rFonts w:hint="eastAsia" w:ascii="方正仿宋_GBK" w:hAnsi="方正仿宋_GBK" w:eastAsia="方正仿宋_GBK" w:cs="方正仿宋_GBK"/>
          <w:b/>
          <w:bCs/>
          <w:lang w:val="en-US" w:eastAsia="zh"/>
        </w:rPr>
        <w:t>加强</w:t>
      </w:r>
      <w:r>
        <w:rPr>
          <w:rFonts w:hint="eastAsia" w:ascii="方正仿宋_GBK" w:hAnsi="方正仿宋_GBK" w:eastAsia="方正仿宋_GBK" w:cs="方正仿宋_GBK"/>
          <w:b/>
          <w:bCs/>
          <w:lang w:val="en-US" w:eastAsia="zh-CN"/>
        </w:rPr>
        <w:t>森防专业队伍</w:t>
      </w:r>
      <w:bookmarkEnd w:id="326"/>
      <w:bookmarkEnd w:id="327"/>
      <w:bookmarkEnd w:id="328"/>
      <w:r>
        <w:rPr>
          <w:rFonts w:hint="eastAsia" w:ascii="方正仿宋_GBK" w:hAnsi="方正仿宋_GBK" w:eastAsia="方正仿宋_GBK" w:cs="方正仿宋_GBK"/>
          <w:b/>
          <w:bCs/>
          <w:lang w:val="en-US" w:eastAsia="zh"/>
        </w:rPr>
        <w:t>建设</w:t>
      </w:r>
      <w:bookmarkEnd w:id="329"/>
      <w:bookmarkEnd w:id="330"/>
      <w:r>
        <w:rPr>
          <w:rFonts w:hint="eastAsia" w:ascii="方正仿宋_GBK" w:hAnsi="方正仿宋_GBK" w:eastAsia="方正仿宋_GBK" w:cs="方正仿宋_GBK"/>
          <w:b/>
          <w:bCs/>
          <w:lang w:val="en-US" w:eastAsia="zh-CN"/>
        </w:rPr>
        <w:t>。</w:t>
      </w:r>
      <w:r>
        <w:rPr>
          <w:rFonts w:hint="eastAsia" w:ascii="方正仿宋_GBK" w:hAnsi="方正仿宋_GBK" w:eastAsia="方正仿宋_GBK" w:cs="方正仿宋_GBK"/>
          <w:lang w:val="en-US" w:eastAsia="zh-CN"/>
        </w:rPr>
        <w:t>推动建设市级森林消防队伍和</w:t>
      </w:r>
      <w:r>
        <w:rPr>
          <w:rFonts w:hint="eastAsia" w:ascii="方正仿宋_GBK" w:hAnsi="方正仿宋_GBK" w:eastAsia="方正仿宋_GBK" w:cs="方正仿宋_GBK"/>
          <w:lang w:eastAsia="zh"/>
        </w:rPr>
        <w:t>营房基地，</w:t>
      </w:r>
      <w:r>
        <w:rPr>
          <w:rFonts w:hint="eastAsia" w:ascii="方正仿宋_GBK" w:hAnsi="方正仿宋_GBK" w:eastAsia="方正仿宋_GBK" w:cs="方正仿宋_GBK"/>
          <w:lang w:val="en-US" w:eastAsia="zh-CN"/>
        </w:rPr>
        <w:t>整合优化森林防</w:t>
      </w:r>
      <w:r>
        <w:rPr>
          <w:rFonts w:hint="eastAsia" w:ascii="方正仿宋_GBK" w:hAnsi="方正仿宋_GBK" w:eastAsia="方正仿宋_GBK" w:cs="方正仿宋_GBK"/>
          <w:lang w:val="en-US" w:eastAsia="zh"/>
        </w:rPr>
        <w:t>灭</w:t>
      </w:r>
      <w:r>
        <w:rPr>
          <w:rFonts w:hint="eastAsia" w:ascii="方正仿宋_GBK" w:hAnsi="方正仿宋_GBK" w:eastAsia="方正仿宋_GBK" w:cs="方正仿宋_GBK"/>
          <w:lang w:val="en-US" w:eastAsia="zh-CN"/>
        </w:rPr>
        <w:t>火专业、半专业队伍力量，按照“专业化、规范化、实战化”要求，加强队伍标准化建设，</w:t>
      </w:r>
      <w:r>
        <w:rPr>
          <w:rFonts w:hint="eastAsia" w:ascii="方正仿宋_GBK" w:hAnsi="方正仿宋_GBK" w:eastAsia="方正仿宋_GBK" w:cs="方正仿宋_GBK"/>
          <w:lang w:val="en-US" w:eastAsia="zh"/>
        </w:rPr>
        <w:t>强化消防保障车、水车、风力灭火机等</w:t>
      </w:r>
      <w:r>
        <w:rPr>
          <w:rFonts w:hint="eastAsia" w:ascii="方正仿宋_GBK" w:hAnsi="方正仿宋_GBK" w:eastAsia="方正仿宋_GBK" w:cs="方正仿宋_GBK"/>
          <w:lang w:val="en-US" w:eastAsia="zh-CN"/>
        </w:rPr>
        <w:t>专业扑火装备</w:t>
      </w:r>
      <w:r>
        <w:rPr>
          <w:rFonts w:hint="eastAsia" w:ascii="方正仿宋_GBK" w:hAnsi="方正仿宋_GBK" w:eastAsia="方正仿宋_GBK" w:cs="方正仿宋_GBK"/>
          <w:lang w:val="en-US" w:eastAsia="zh"/>
        </w:rPr>
        <w:t>配备</w:t>
      </w:r>
      <w:r>
        <w:rPr>
          <w:rFonts w:hint="eastAsia" w:ascii="方正仿宋_GBK" w:hAnsi="方正仿宋_GBK" w:eastAsia="方正仿宋_GBK" w:cs="方正仿宋_GBK"/>
          <w:lang w:val="en-US" w:eastAsia="zh-CN"/>
        </w:rPr>
        <w:t>。建立常态化培训演练机制，重点开展扑火技能、</w:t>
      </w:r>
      <w:r>
        <w:rPr>
          <w:rFonts w:hint="eastAsia" w:ascii="方正仿宋_GBK" w:hAnsi="方正仿宋_GBK" w:eastAsia="方正仿宋_GBK" w:cs="方正仿宋_GBK"/>
          <w:lang w:val="en-US" w:eastAsia="zh"/>
        </w:rPr>
        <w:t>应急指挥、</w:t>
      </w:r>
      <w:r>
        <w:rPr>
          <w:rFonts w:hint="eastAsia" w:ascii="方正仿宋_GBK" w:hAnsi="方正仿宋_GBK" w:eastAsia="方正仿宋_GBK" w:cs="方正仿宋_GBK"/>
          <w:lang w:val="en-US" w:eastAsia="zh-CN"/>
        </w:rPr>
        <w:t>应急处置、安全防护等培训，强化跨区域、跨部门联合</w:t>
      </w:r>
      <w:r>
        <w:rPr>
          <w:rFonts w:hint="eastAsia" w:ascii="方正仿宋_GBK" w:hAnsi="方正仿宋_GBK" w:eastAsia="方正仿宋_GBK" w:cs="方正仿宋_GBK"/>
          <w:lang w:val="en-US" w:eastAsia="zh"/>
        </w:rPr>
        <w:t>实战</w:t>
      </w:r>
      <w:r>
        <w:rPr>
          <w:rFonts w:hint="eastAsia" w:ascii="方正仿宋_GBK" w:hAnsi="方正仿宋_GBK" w:eastAsia="方正仿宋_GBK" w:cs="方正仿宋_GBK"/>
          <w:lang w:val="en-US" w:eastAsia="zh-CN"/>
        </w:rPr>
        <w:t>演练，提升队伍快速响应、科学扑救和协同作战能力。</w:t>
      </w:r>
    </w:p>
    <w:p>
      <w:pPr>
        <w:pStyle w:val="2"/>
        <w:bidi w:val="0"/>
        <w:rPr>
          <w:rFonts w:hint="eastAsia"/>
          <w:color w:val="auto"/>
          <w:highlight w:val="none"/>
          <w:lang w:val="en-US" w:eastAsia="zh-CN"/>
        </w:rPr>
      </w:pPr>
      <w:bookmarkStart w:id="331" w:name="_Toc8239"/>
      <w:bookmarkStart w:id="332" w:name="_Toc15698"/>
      <w:bookmarkStart w:id="333" w:name="_Toc29412"/>
      <w:bookmarkStart w:id="334" w:name="_Toc1285"/>
      <w:bookmarkStart w:id="335" w:name="_Toc20233"/>
      <w:bookmarkStart w:id="336" w:name="_Toc12383"/>
      <w:bookmarkStart w:id="337" w:name="_Toc5427"/>
      <w:bookmarkStart w:id="338" w:name="_Toc19083"/>
      <w:r>
        <w:rPr>
          <w:rFonts w:hint="eastAsia"/>
          <w:color w:val="auto"/>
          <w:highlight w:val="none"/>
          <w:lang w:val="en-US" w:eastAsia="zh-CN"/>
        </w:rPr>
        <w:t>第四章 重点工程</w:t>
      </w:r>
      <w:bookmarkEnd w:id="331"/>
      <w:bookmarkEnd w:id="332"/>
      <w:bookmarkEnd w:id="333"/>
      <w:bookmarkEnd w:id="334"/>
      <w:bookmarkEnd w:id="335"/>
      <w:bookmarkEnd w:id="336"/>
      <w:bookmarkEnd w:id="337"/>
      <w:bookmarkEnd w:id="338"/>
    </w:p>
    <w:p>
      <w:pPr>
        <w:pStyle w:val="3"/>
        <w:bidi w:val="0"/>
        <w:rPr>
          <w:rFonts w:hint="default" w:ascii="方正楷体_GBK" w:hAnsi="方正楷体_GBK" w:eastAsia="方正楷体_GBK" w:cs="方正楷体_GBK"/>
          <w:color w:val="auto"/>
          <w:highlight w:val="none"/>
          <w:lang w:val="en-US" w:eastAsia="zh-CN"/>
        </w:rPr>
      </w:pPr>
      <w:bookmarkStart w:id="339" w:name="_Toc1054"/>
      <w:bookmarkStart w:id="340" w:name="_Toc17426"/>
      <w:bookmarkStart w:id="341" w:name="_Toc4955"/>
      <w:bookmarkStart w:id="342" w:name="_Toc254435871"/>
      <w:bookmarkStart w:id="343" w:name="_Toc26102"/>
      <w:bookmarkStart w:id="344" w:name="_Toc10328285"/>
      <w:bookmarkStart w:id="345" w:name="_Toc286404171"/>
      <w:bookmarkStart w:id="346" w:name="_Toc680746850"/>
      <w:bookmarkStart w:id="347" w:name="_Toc259772214"/>
      <w:bookmarkStart w:id="348" w:name="_Toc555430996"/>
      <w:bookmarkStart w:id="349" w:name="_Toc40566192"/>
      <w:bookmarkStart w:id="350" w:name="_Toc929911808"/>
      <w:bookmarkStart w:id="351" w:name="_Toc1632922810"/>
      <w:bookmarkStart w:id="352" w:name="_Toc12699"/>
      <w:bookmarkStart w:id="353" w:name="_Toc384446840"/>
      <w:bookmarkStart w:id="354" w:name="_Toc121862129"/>
      <w:bookmarkStart w:id="355" w:name="_Toc84496334"/>
      <w:bookmarkStart w:id="356" w:name="_Toc1359591898"/>
      <w:bookmarkStart w:id="357" w:name="_Toc1049818894"/>
      <w:bookmarkStart w:id="358" w:name="_Toc878274407"/>
      <w:bookmarkStart w:id="359" w:name="_Toc1894081222"/>
      <w:bookmarkStart w:id="360" w:name="_Toc426422078"/>
      <w:bookmarkStart w:id="361" w:name="_Toc16469"/>
      <w:bookmarkStart w:id="362" w:name="_Toc2198"/>
      <w:bookmarkStart w:id="363" w:name="OLE_LINK32"/>
      <w:bookmarkStart w:id="364" w:name="OLE_LINK31"/>
      <w:bookmarkStart w:id="365" w:name="_Toc14084"/>
      <w:bookmarkStart w:id="366" w:name="_Toc32434"/>
      <w:r>
        <w:rPr>
          <w:rFonts w:hint="eastAsia" w:ascii="方正楷体_GBK" w:hAnsi="方正楷体_GBK" w:eastAsia="方正楷体_GBK" w:cs="方正楷体_GBK"/>
          <w:color w:val="auto"/>
          <w:highlight w:val="none"/>
          <w:lang w:val="en-US" w:eastAsia="zh-CN"/>
        </w:rPr>
        <w:t>（一）</w:t>
      </w:r>
      <w:r>
        <w:rPr>
          <w:rFonts w:hint="default" w:ascii="方正楷体_GBK" w:hAnsi="方正楷体_GBK" w:eastAsia="方正楷体_GBK" w:cs="方正楷体_GBK"/>
          <w:color w:val="auto"/>
          <w:highlight w:val="none"/>
          <w:lang w:val="en-US" w:eastAsia="zh-CN"/>
        </w:rPr>
        <w:t>应急指挥能力提升工程</w:t>
      </w:r>
      <w:bookmarkEnd w:id="339"/>
      <w:bookmarkEnd w:id="340"/>
      <w:bookmarkEnd w:id="341"/>
      <w:bookmarkEnd w:id="342"/>
      <w:bookmarkEnd w:id="343"/>
      <w:bookmarkEnd w:id="344"/>
    </w:p>
    <w:p>
      <w:pPr>
        <w:keepNext w:val="0"/>
        <w:keepLines w:val="0"/>
        <w:pageBreakBefore w:val="0"/>
        <w:widowControl w:val="0"/>
        <w:suppressLineNumbers w:val="0"/>
        <w:kinsoku/>
        <w:wordWrap/>
        <w:overflowPunct w:val="0"/>
        <w:topLinePunct w:val="0"/>
        <w:autoSpaceDE/>
        <w:autoSpaceDN/>
        <w:bidi w:val="0"/>
        <w:spacing w:before="0" w:beforeAutospacing="0" w:after="0" w:afterAutospacing="0" w:line="560" w:lineRule="exact"/>
        <w:ind w:left="0" w:right="0" w:firstLine="0"/>
        <w:jc w:val="both"/>
        <w:rPr>
          <w:rFonts w:hint="eastAsia" w:ascii="方正仿宋_GBK" w:hAnsi="方正仿宋_GBK" w:eastAsia="方正仿宋_GBK" w:cs="方正仿宋_GBK"/>
          <w:b w:val="0"/>
          <w:bCs w:val="0"/>
          <w:i w:val="0"/>
          <w:iCs w:val="0"/>
          <w:caps w:val="0"/>
          <w:color w:val="auto"/>
          <w:spacing w:val="0"/>
          <w:kern w:val="0"/>
          <w:sz w:val="32"/>
          <w:szCs w:val="32"/>
          <w:highlight w:val="none"/>
          <w:lang w:eastAsia="zh-CN" w:bidi="ar"/>
        </w:rPr>
      </w:pP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建设</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完善</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市、县（区）</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应急指挥部</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，支持镇（街道）</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应急指挥</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中心</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建设，</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开展各级音视频</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指挥</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调度系统、通信设备、不间断应急电源等应急指挥装备配备更新，</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配齐</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配强无人机侦察系统、</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单兵通信装备</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、协同指挥作战终端等</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现场指挥作战装备。</w:t>
      </w:r>
    </w:p>
    <w:p>
      <w:pPr>
        <w:pStyle w:val="3"/>
        <w:bidi w:val="0"/>
        <w:rPr>
          <w:rFonts w:hint="eastAsia" w:ascii="方正楷体_GBK" w:hAnsi="方正楷体_GBK" w:eastAsia="方正楷体_GBK" w:cs="方正楷体_GBK"/>
          <w:color w:val="auto"/>
          <w:highlight w:val="none"/>
          <w:lang w:val="en-US" w:eastAsia="zh-CN"/>
        </w:rPr>
      </w:pPr>
      <w:bookmarkStart w:id="367" w:name="_Toc8835"/>
      <w:bookmarkStart w:id="368" w:name="_Toc13576"/>
      <w:bookmarkStart w:id="369" w:name="_Toc25025"/>
      <w:bookmarkStart w:id="370" w:name="_Toc1788794235"/>
      <w:bookmarkStart w:id="371" w:name="_Toc2238"/>
      <w:bookmarkStart w:id="372" w:name="_Toc373568214"/>
      <w:r>
        <w:rPr>
          <w:rFonts w:hint="eastAsia" w:ascii="方正楷体_GBK" w:hAnsi="方正楷体_GBK" w:eastAsia="方正楷体_GBK" w:cs="方正楷体_GBK"/>
          <w:color w:val="auto"/>
          <w:highlight w:val="none"/>
          <w:lang w:val="en-US" w:eastAsia="zh-CN"/>
        </w:rPr>
        <w:t>（二）</w:t>
      </w:r>
      <w:r>
        <w:rPr>
          <w:rFonts w:hint="default" w:ascii="方正楷体_GBK" w:hAnsi="方正楷体_GBK" w:eastAsia="方正楷体_GBK" w:cs="方正楷体_GBK"/>
          <w:color w:val="auto"/>
          <w:highlight w:val="none"/>
          <w:lang w:val="en-US" w:eastAsia="zh-CN"/>
        </w:rPr>
        <w:t>智慧应急</w:t>
      </w:r>
      <w:r>
        <w:rPr>
          <w:rFonts w:hint="eastAsia" w:ascii="方正楷体_GBK" w:hAnsi="方正楷体_GBK" w:eastAsia="方正楷体_GBK" w:cs="方正楷体_GBK"/>
          <w:color w:val="auto"/>
          <w:highlight w:val="none"/>
          <w:lang w:val="en-US" w:eastAsia="zh"/>
        </w:rPr>
        <w:t>能力提升</w:t>
      </w:r>
      <w:r>
        <w:rPr>
          <w:rFonts w:hint="default" w:ascii="方正楷体_GBK" w:hAnsi="方正楷体_GBK" w:eastAsia="方正楷体_GBK" w:cs="方正楷体_GBK"/>
          <w:color w:val="auto"/>
          <w:highlight w:val="none"/>
          <w:lang w:val="en-US" w:eastAsia="zh-CN"/>
        </w:rPr>
        <w:t>工程</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7"/>
      <w:bookmarkEnd w:id="368"/>
      <w:bookmarkEnd w:id="369"/>
      <w:bookmarkEnd w:id="370"/>
      <w:bookmarkEnd w:id="371"/>
      <w:bookmarkEnd w:id="372"/>
    </w:p>
    <w:p>
      <w:pPr>
        <w:keepNext w:val="0"/>
        <w:keepLines w:val="0"/>
        <w:pageBreakBefore w:val="0"/>
        <w:widowControl w:val="0"/>
        <w:suppressLineNumbers w:val="0"/>
        <w:kinsoku/>
        <w:wordWrap/>
        <w:overflowPunct w:val="0"/>
        <w:topLinePunct w:val="0"/>
        <w:autoSpaceDE/>
        <w:autoSpaceDN/>
        <w:bidi w:val="0"/>
        <w:spacing w:before="0" w:beforeAutospacing="0" w:after="0" w:afterAutospacing="0" w:line="560" w:lineRule="exact"/>
        <w:ind w:left="0" w:right="0" w:firstLine="0"/>
        <w:jc w:val="both"/>
        <w:rPr>
          <w:rFonts w:hint="eastAsia" w:ascii="方正仿宋_GBK" w:hAnsi="方正仿宋_GBK" w:eastAsia="方正仿宋_GBK" w:cs="方正仿宋_GBK"/>
          <w:caps w:val="0"/>
          <w:color w:val="auto"/>
          <w:kern w:val="2"/>
          <w:sz w:val="32"/>
          <w:szCs w:val="32"/>
          <w:highlight w:val="none"/>
        </w:rPr>
      </w:pP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建设</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完善</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应急数据</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资源池</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，探索建设</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数据+大模型</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视频+大模型</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系列应用，推动大模型赋能监测预警、监管执法、指挥调度、风险防控、灾</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后</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救助等业务实战场景，</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推动</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应急管理</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业务</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数智化转型。深化370MHz集群网和窄带自组网等应急指挥通信网建设，探索构建无人机应急通信保障体系，提升应急指挥通信</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保障能力</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 w:bidi="ar"/>
        </w:rPr>
        <w:t>。</w:t>
      </w:r>
    </w:p>
    <w:p>
      <w:pPr>
        <w:pStyle w:val="3"/>
        <w:bidi w:val="0"/>
        <w:rPr>
          <w:rFonts w:hint="default" w:ascii="方正楷体_GBK" w:hAnsi="方正楷体_GBK" w:eastAsia="方正楷体_GBK" w:cs="方正楷体_GBK"/>
          <w:color w:val="auto"/>
          <w:highlight w:val="none"/>
          <w:lang w:val="en-US" w:eastAsia="zh"/>
        </w:rPr>
      </w:pPr>
      <w:bookmarkStart w:id="373" w:name="_Toc1641133292"/>
      <w:bookmarkStart w:id="374" w:name="_Toc948"/>
      <w:bookmarkStart w:id="375" w:name="_Toc7251"/>
      <w:bookmarkStart w:id="376" w:name="_Toc555300453"/>
      <w:bookmarkStart w:id="377" w:name="_Toc26563"/>
      <w:bookmarkStart w:id="378" w:name="_Toc14081831"/>
      <w:bookmarkStart w:id="379" w:name="_Toc941778610"/>
      <w:bookmarkStart w:id="380" w:name="_Toc1572305004"/>
      <w:bookmarkStart w:id="381" w:name="_Toc1835993718"/>
      <w:bookmarkStart w:id="382" w:name="_Toc2002000602"/>
      <w:bookmarkStart w:id="383" w:name="_Toc1677418592"/>
      <w:bookmarkStart w:id="384" w:name="_Toc470739123"/>
      <w:bookmarkStart w:id="385" w:name="_Toc1153110656"/>
      <w:bookmarkStart w:id="386" w:name="_Toc1166"/>
      <w:bookmarkStart w:id="387" w:name="_Toc1766719931"/>
      <w:bookmarkStart w:id="388" w:name="_Toc22760"/>
      <w:bookmarkStart w:id="389" w:name="_Toc927582164"/>
      <w:bookmarkStart w:id="390" w:name="_Toc1611373803"/>
      <w:bookmarkStart w:id="391" w:name="_Toc1949518759"/>
      <w:bookmarkStart w:id="392" w:name="_Toc270531126"/>
      <w:bookmarkStart w:id="393" w:name="_Toc800164804"/>
      <w:bookmarkStart w:id="394" w:name="_Toc635610827"/>
      <w:r>
        <w:rPr>
          <w:rFonts w:hint="eastAsia" w:ascii="方正楷体_GBK" w:hAnsi="方正楷体_GBK" w:eastAsia="方正楷体_GBK" w:cs="方正楷体_GBK"/>
          <w:color w:val="auto"/>
          <w:highlight w:val="none"/>
          <w:lang w:val="en-US" w:eastAsia="zh-CN"/>
        </w:rPr>
        <w:t>（三）</w:t>
      </w:r>
      <w:r>
        <w:rPr>
          <w:rFonts w:hint="default" w:ascii="方正楷体_GBK" w:hAnsi="方正楷体_GBK" w:eastAsia="方正楷体_GBK" w:cs="方正楷体_GBK"/>
          <w:color w:val="auto"/>
          <w:highlight w:val="none"/>
          <w:lang w:val="en-US" w:eastAsia="zh"/>
        </w:rPr>
        <w:t>安全</w:t>
      </w:r>
      <w:r>
        <w:rPr>
          <w:rFonts w:hint="eastAsia" w:ascii="方正楷体_GBK" w:hAnsi="方正楷体_GBK" w:eastAsia="方正楷体_GBK" w:cs="方正楷体_GBK"/>
          <w:color w:val="auto"/>
          <w:highlight w:val="none"/>
          <w:lang w:val="en-US" w:eastAsia="zh"/>
        </w:rPr>
        <w:t>生产治理</w:t>
      </w:r>
      <w:r>
        <w:rPr>
          <w:rFonts w:hint="default" w:ascii="方正楷体_GBK" w:hAnsi="方正楷体_GBK" w:eastAsia="方正楷体_GBK" w:cs="方正楷体_GBK"/>
          <w:color w:val="auto"/>
          <w:highlight w:val="none"/>
          <w:lang w:val="en-US" w:eastAsia="zh"/>
        </w:rPr>
        <w:t>能力提升工程</w:t>
      </w:r>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keepNext w:val="0"/>
        <w:keepLines w:val="0"/>
        <w:pageBreakBefore w:val="0"/>
        <w:widowControl w:val="0"/>
        <w:suppressLineNumbers w:val="0"/>
        <w:kinsoku/>
        <w:wordWrap/>
        <w:overflowPunct w:val="0"/>
        <w:topLinePunct w:val="0"/>
        <w:autoSpaceDE/>
        <w:autoSpaceDN/>
        <w:bidi w:val="0"/>
        <w:spacing w:before="0" w:beforeAutospacing="0" w:after="0" w:afterAutospacing="0" w:line="560" w:lineRule="exact"/>
        <w:ind w:left="0" w:right="0" w:firstLine="0"/>
        <w:jc w:val="both"/>
        <w:rPr>
          <w:rFonts w:hint="eastAsia" w:ascii="方正仿宋_GBK" w:hAnsi="方正仿宋_GBK" w:eastAsia="方正仿宋_GBK" w:cs="方正仿宋_GBK"/>
          <w:caps w:val="0"/>
          <w:color w:val="auto"/>
          <w:kern w:val="2"/>
          <w:sz w:val="32"/>
          <w:szCs w:val="32"/>
          <w:highlight w:val="none"/>
        </w:rPr>
      </w:pP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支持潮州市</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新材料产业园智慧园区及安全应急设施建设</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，推动</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建设潮州市露天矿山边坡安全智能巡检平台。开展基层隐患排查治理能力提升</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行动</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实施工业园区安全管理能力提升行动，推进安全生产考试和实训点建设，全面提升安全生产规范化水平。</w:t>
      </w:r>
      <w:r>
        <w:rPr>
          <w:rFonts w:hint="eastAsia" w:ascii="方正仿宋_GBK" w:hAnsi="方正仿宋_GBK" w:eastAsia="方正仿宋_GBK" w:cs="方正仿宋_GBK"/>
          <w:caps w:val="0"/>
          <w:snapToGrid/>
          <w:color w:val="auto"/>
          <w:kern w:val="2"/>
          <w:sz w:val="32"/>
          <w:szCs w:val="32"/>
          <w:highlight w:val="none"/>
          <w:lang w:val="en-US" w:eastAsia="zh" w:bidi="ar"/>
        </w:rPr>
        <w:t>实施</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执法能力</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标准化提升行动</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推进</w:t>
      </w:r>
      <w:r>
        <w:rPr>
          <w:rFonts w:hint="eastAsia" w:ascii="方正仿宋_GBK" w:hAnsi="方正仿宋_GBK" w:eastAsia="方正仿宋_GBK" w:cs="方正仿宋_GBK"/>
          <w:b w:val="0"/>
          <w:bCs w:val="0"/>
          <w:i w:val="0"/>
          <w:iCs w:val="0"/>
          <w:caps w:val="0"/>
          <w:color w:val="auto"/>
          <w:spacing w:val="0"/>
          <w:kern w:val="0"/>
          <w:sz w:val="32"/>
          <w:szCs w:val="32"/>
          <w:highlight w:val="none"/>
          <w:lang w:val="en-US" w:eastAsia="zh-CN" w:bidi="ar"/>
        </w:rPr>
        <w:t>市、县（区）</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执法</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队伍</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装备标准化建设。</w:t>
      </w:r>
    </w:p>
    <w:p>
      <w:pPr>
        <w:pStyle w:val="3"/>
        <w:bidi w:val="0"/>
        <w:rPr>
          <w:rFonts w:hint="default" w:ascii="方正楷体_GBK" w:hAnsi="方正楷体_GBK" w:eastAsia="方正楷体_GBK" w:cs="方正楷体_GBK"/>
          <w:color w:val="auto"/>
          <w:highlight w:val="none"/>
          <w:lang w:val="en-US" w:eastAsia="zh"/>
        </w:rPr>
      </w:pPr>
      <w:bookmarkStart w:id="395" w:name="_Toc14534182"/>
      <w:bookmarkStart w:id="396" w:name="_Toc3686"/>
      <w:bookmarkStart w:id="397" w:name="_Toc1769742442"/>
      <w:bookmarkStart w:id="398" w:name="_Toc8263"/>
      <w:bookmarkStart w:id="399" w:name="_Toc247276576"/>
      <w:bookmarkStart w:id="400" w:name="_Toc1721569874"/>
      <w:bookmarkStart w:id="401" w:name="_Toc905892891"/>
      <w:bookmarkStart w:id="402" w:name="_Toc602677056"/>
      <w:bookmarkStart w:id="403" w:name="_Toc10271"/>
      <w:bookmarkStart w:id="404" w:name="_Toc1194235047"/>
      <w:bookmarkStart w:id="405" w:name="_Toc1585597085"/>
      <w:bookmarkStart w:id="406" w:name="_Toc30158"/>
      <w:bookmarkStart w:id="407" w:name="_Toc700827157"/>
      <w:bookmarkStart w:id="408" w:name="_Toc11960"/>
      <w:bookmarkStart w:id="409" w:name="_Toc652729791"/>
      <w:bookmarkStart w:id="410" w:name="_Toc1351346577"/>
      <w:r>
        <w:rPr>
          <w:rFonts w:hint="eastAsia" w:ascii="方正楷体_GBK" w:hAnsi="方正楷体_GBK" w:eastAsia="方正楷体_GBK" w:cs="方正楷体_GBK"/>
          <w:color w:val="auto"/>
          <w:highlight w:val="none"/>
          <w:lang w:val="en-US" w:eastAsia="zh-CN"/>
        </w:rPr>
        <w:t>（四）</w:t>
      </w:r>
      <w:r>
        <w:rPr>
          <w:rFonts w:hint="eastAsia" w:ascii="方正楷体_GBK" w:hAnsi="方正楷体_GBK" w:eastAsia="方正楷体_GBK" w:cs="方正楷体_GBK"/>
          <w:color w:val="auto"/>
          <w:highlight w:val="none"/>
          <w:lang w:val="en-US" w:eastAsia="zh"/>
        </w:rPr>
        <w:t>综合防灾减灾</w:t>
      </w:r>
      <w:r>
        <w:rPr>
          <w:rFonts w:hint="default" w:ascii="方正楷体_GBK" w:hAnsi="方正楷体_GBK" w:eastAsia="方正楷体_GBK" w:cs="方正楷体_GBK"/>
          <w:color w:val="auto"/>
          <w:highlight w:val="none"/>
          <w:lang w:val="en-US" w:eastAsia="zh"/>
        </w:rPr>
        <w:t>能力提升工程</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keepNext w:val="0"/>
        <w:keepLines w:val="0"/>
        <w:pageBreakBefore w:val="0"/>
        <w:widowControl w:val="0"/>
        <w:suppressLineNumbers w:val="0"/>
        <w:kinsoku/>
        <w:wordWrap/>
        <w:overflowPunct w:val="0"/>
        <w:topLinePunct w:val="0"/>
        <w:autoSpaceDE/>
        <w:autoSpaceDN/>
        <w:bidi w:val="0"/>
        <w:spacing w:before="0" w:beforeAutospacing="0" w:after="0" w:afterAutospacing="0" w:line="560" w:lineRule="exact"/>
        <w:ind w:left="0" w:right="0" w:firstLine="0"/>
        <w:jc w:val="both"/>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pPr>
      <w:bookmarkStart w:id="411" w:name="_Toc1629397339"/>
      <w:bookmarkStart w:id="412" w:name="_Toc295970744"/>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推进</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县域综合防灾能力建设，</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开展</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多灾易灾行政村（社区）防灾减灾能力标准化建设。</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开展应急避难场所调查评估，推进应急避难场所标准化建设与改造。</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推进自然灾害</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风险隐患综合治理</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，完善防台、防洪涝、抗震等</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防灾减灾</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基础设施。</w:t>
      </w:r>
    </w:p>
    <w:bookmarkEnd w:id="411"/>
    <w:bookmarkEnd w:id="412"/>
    <w:p>
      <w:pPr>
        <w:pStyle w:val="3"/>
        <w:bidi w:val="0"/>
        <w:rPr>
          <w:rFonts w:hint="default" w:ascii="方正楷体_GBK" w:hAnsi="方正楷体_GBK" w:eastAsia="方正楷体_GBK" w:cs="方正楷体_GBK"/>
          <w:color w:val="auto"/>
          <w:highlight w:val="none"/>
          <w:lang w:val="en-US" w:eastAsia="zh"/>
        </w:rPr>
      </w:pPr>
      <w:bookmarkStart w:id="413" w:name="_Toc18148"/>
      <w:bookmarkStart w:id="414" w:name="_Toc11369"/>
      <w:bookmarkStart w:id="415" w:name="_Toc1861128613"/>
      <w:bookmarkStart w:id="416" w:name="_Toc1175033727"/>
      <w:bookmarkStart w:id="417" w:name="_Toc82442564"/>
      <w:bookmarkStart w:id="418" w:name="_Toc716"/>
      <w:bookmarkStart w:id="419" w:name="_Toc338780426"/>
      <w:bookmarkStart w:id="420" w:name="_Toc424830831"/>
      <w:bookmarkStart w:id="421" w:name="_Toc1834941770"/>
      <w:bookmarkStart w:id="422" w:name="_Toc1791432341"/>
      <w:bookmarkStart w:id="423" w:name="_Toc1416258123"/>
      <w:bookmarkStart w:id="424" w:name="_Toc2001175177"/>
      <w:bookmarkStart w:id="425" w:name="_Toc199968710"/>
      <w:bookmarkStart w:id="426" w:name="_Toc4673"/>
      <w:bookmarkStart w:id="427" w:name="_Toc6636"/>
      <w:bookmarkStart w:id="428" w:name="_Toc297423334"/>
      <w:r>
        <w:rPr>
          <w:rFonts w:hint="eastAsia" w:ascii="方正楷体_GBK" w:hAnsi="方正楷体_GBK" w:eastAsia="方正楷体_GBK" w:cs="方正楷体_GBK"/>
          <w:color w:val="auto"/>
          <w:highlight w:val="none"/>
          <w:lang w:val="en-US" w:eastAsia="zh-CN"/>
        </w:rPr>
        <w:t>（五）</w:t>
      </w:r>
      <w:r>
        <w:rPr>
          <w:rFonts w:hint="default" w:ascii="方正楷体_GBK" w:hAnsi="方正楷体_GBK" w:eastAsia="方正楷体_GBK" w:cs="方正楷体_GBK"/>
          <w:color w:val="auto"/>
          <w:highlight w:val="none"/>
          <w:lang w:val="en-US" w:eastAsia="zh"/>
        </w:rPr>
        <w:t>应急救援</w:t>
      </w:r>
      <w:r>
        <w:rPr>
          <w:rFonts w:hint="eastAsia" w:ascii="方正楷体_GBK" w:hAnsi="方正楷体_GBK" w:eastAsia="方正楷体_GBK" w:cs="方正楷体_GBK"/>
          <w:color w:val="auto"/>
          <w:highlight w:val="none"/>
          <w:lang w:val="en-US" w:eastAsia="zh"/>
        </w:rPr>
        <w:t>能力提升</w:t>
      </w:r>
      <w:r>
        <w:rPr>
          <w:rFonts w:hint="default" w:ascii="方正楷体_GBK" w:hAnsi="方正楷体_GBK" w:eastAsia="方正楷体_GBK" w:cs="方正楷体_GBK"/>
          <w:color w:val="auto"/>
          <w:highlight w:val="none"/>
          <w:lang w:val="en-US" w:eastAsia="zh"/>
        </w:rPr>
        <w:t>工程</w:t>
      </w:r>
      <w:bookmarkEnd w:id="389"/>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p>
    <w:p>
      <w:pPr>
        <w:keepNext w:val="0"/>
        <w:keepLines w:val="0"/>
        <w:pageBreakBefore w:val="0"/>
        <w:widowControl w:val="0"/>
        <w:suppressLineNumbers w:val="0"/>
        <w:kinsoku/>
        <w:wordWrap/>
        <w:overflowPunct w:val="0"/>
        <w:topLinePunct w:val="0"/>
        <w:autoSpaceDE/>
        <w:autoSpaceDN/>
        <w:bidi w:val="0"/>
        <w:spacing w:before="0" w:beforeAutospacing="0" w:after="0" w:afterAutospacing="0" w:line="560" w:lineRule="exact"/>
        <w:ind w:left="0" w:right="0" w:firstLine="0"/>
        <w:jc w:val="both"/>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pP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聚焦台风、</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暴雨洪涝、地震</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水上事故</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及</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危险化学品</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泄漏等核心</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需求</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，强化</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专业与实用新型</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装备配备，</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系统</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开展老旧装备维护与更新保障</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推进直升机野外停机坪建设</w:t>
      </w:r>
      <w:r>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t>。</w:t>
      </w: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建设完善应急装备物资仓库。</w:t>
      </w:r>
    </w:p>
    <w:p>
      <w:pPr>
        <w:pStyle w:val="3"/>
        <w:bidi w:val="0"/>
        <w:rPr>
          <w:rFonts w:hint="default" w:ascii="方正楷体_GBK" w:hAnsi="方正楷体_GBK" w:eastAsia="方正楷体_GBK" w:cs="方正楷体_GBK"/>
          <w:color w:val="auto"/>
          <w:highlight w:val="none"/>
          <w:lang w:val="en-US" w:eastAsia="zh"/>
        </w:rPr>
      </w:pPr>
      <w:bookmarkStart w:id="429" w:name="_Toc904542124"/>
      <w:bookmarkStart w:id="430" w:name="_Toc840460431"/>
      <w:bookmarkStart w:id="431" w:name="_Toc1825619873"/>
      <w:bookmarkStart w:id="432" w:name="_Toc2017032314"/>
      <w:bookmarkStart w:id="433" w:name="_Toc1329102793"/>
      <w:bookmarkStart w:id="434" w:name="_Toc29213"/>
      <w:bookmarkStart w:id="435" w:name="_Toc1295500071"/>
      <w:bookmarkStart w:id="436" w:name="_Toc1606801723"/>
      <w:bookmarkStart w:id="437" w:name="_Toc623291135"/>
      <w:bookmarkStart w:id="438" w:name="_Toc1939931271"/>
      <w:bookmarkStart w:id="439" w:name="_Toc1889280136"/>
      <w:bookmarkStart w:id="440" w:name="_Toc13541"/>
      <w:bookmarkStart w:id="441" w:name="_Toc442247805"/>
      <w:bookmarkStart w:id="442" w:name="_Toc6158"/>
      <w:bookmarkStart w:id="443" w:name="_Toc14236"/>
      <w:bookmarkStart w:id="444" w:name="_Toc165058617"/>
      <w:bookmarkStart w:id="445" w:name="_Toc7474"/>
      <w:r>
        <w:rPr>
          <w:rFonts w:hint="eastAsia" w:ascii="方正楷体_GBK" w:hAnsi="方正楷体_GBK" w:eastAsia="方正楷体_GBK" w:cs="方正楷体_GBK"/>
          <w:color w:val="auto"/>
          <w:highlight w:val="none"/>
          <w:lang w:val="en-US" w:eastAsia="zh-CN"/>
        </w:rPr>
        <w:t>（六）</w:t>
      </w:r>
      <w:r>
        <w:rPr>
          <w:rFonts w:hint="eastAsia" w:ascii="方正楷体_GBK" w:hAnsi="方正楷体_GBK" w:eastAsia="方正楷体_GBK" w:cs="方正楷体_GBK"/>
          <w:color w:val="auto"/>
          <w:highlight w:val="none"/>
          <w:lang w:val="en-US" w:eastAsia="zh"/>
        </w:rPr>
        <w:t>大岭山应急产业园建设</w:t>
      </w:r>
      <w:r>
        <w:rPr>
          <w:rFonts w:hint="default" w:ascii="方正楷体_GBK" w:hAnsi="方正楷体_GBK" w:eastAsia="方正楷体_GBK" w:cs="方正楷体_GBK"/>
          <w:color w:val="auto"/>
          <w:highlight w:val="none"/>
          <w:lang w:val="en-US" w:eastAsia="zh"/>
        </w:rPr>
        <w:t>工程</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p>
    <w:p>
      <w:pPr>
        <w:keepNext w:val="0"/>
        <w:keepLines w:val="0"/>
        <w:pageBreakBefore w:val="0"/>
        <w:widowControl w:val="0"/>
        <w:suppressLineNumbers w:val="0"/>
        <w:kinsoku/>
        <w:wordWrap/>
        <w:overflowPunct w:val="0"/>
        <w:topLinePunct w:val="0"/>
        <w:autoSpaceDE/>
        <w:autoSpaceDN/>
        <w:bidi w:val="0"/>
        <w:spacing w:before="0" w:beforeAutospacing="0" w:after="0" w:afterAutospacing="0" w:line="560" w:lineRule="exact"/>
        <w:ind w:left="0" w:right="0" w:firstLine="0"/>
        <w:jc w:val="both"/>
        <w:rPr>
          <w:rFonts w:hint="eastAsia" w:ascii="方正仿宋_GBK" w:hAnsi="方正仿宋_GBK" w:eastAsia="方正仿宋_GBK" w:cs="方正仿宋_GBK"/>
          <w:i w:val="0"/>
          <w:iCs w:val="0"/>
          <w:caps w:val="0"/>
          <w:color w:val="auto"/>
          <w:spacing w:val="0"/>
          <w:kern w:val="0"/>
          <w:sz w:val="32"/>
          <w:szCs w:val="32"/>
          <w:highlight w:val="none"/>
          <w:lang w:val="en-US" w:eastAsia="zh-CN" w:bidi="ar"/>
        </w:rPr>
      </w:pPr>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依托国家东南区域应急救援中心带动产业集聚，建设潮州市大岭山应急产业园</w:t>
      </w:r>
      <w:bookmarkEnd w:id="390"/>
      <w:bookmarkEnd w:id="391"/>
      <w:bookmarkEnd w:id="392"/>
      <w:bookmarkEnd w:id="393"/>
      <w:bookmarkEnd w:id="394"/>
      <w:bookmarkStart w:id="446" w:name="_Toc1028102327"/>
      <w:bookmarkStart w:id="447" w:name="_Toc1123447147"/>
      <w:bookmarkStart w:id="448" w:name="_Toc960250396"/>
      <w:bookmarkStart w:id="449" w:name="_Toc502205678"/>
      <w:bookmarkStart w:id="450" w:name="_Toc1774558483"/>
      <w:r>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t>，搭建产业引进平台，聚焦安全应急装备制造、应急物资生产供应、卫生医疗、新材料、电子信息等领域打造现代化产业园区，建设产教学研用一体基地。</w:t>
      </w:r>
    </w:p>
    <w:p>
      <w:pPr>
        <w:pStyle w:val="3"/>
        <w:bidi w:val="0"/>
        <w:rPr>
          <w:rFonts w:hint="eastAsia" w:ascii="方正楷体_GBK" w:hAnsi="方正楷体_GBK" w:eastAsia="方正楷体_GBK" w:cs="方正楷体_GBK"/>
          <w:color w:val="auto"/>
          <w:highlight w:val="none"/>
          <w:lang w:val="en-US" w:eastAsia="zh"/>
        </w:rPr>
      </w:pPr>
      <w:bookmarkStart w:id="451" w:name="_Toc21859"/>
      <w:bookmarkStart w:id="452" w:name="_Toc12460"/>
      <w:bookmarkStart w:id="453" w:name="_Toc1394278418"/>
      <w:bookmarkStart w:id="454" w:name="_Toc282176200"/>
      <w:bookmarkStart w:id="455" w:name="_Toc199950325"/>
      <w:bookmarkStart w:id="456" w:name="_Toc21000"/>
      <w:bookmarkStart w:id="457" w:name="_Toc1579113510"/>
      <w:bookmarkStart w:id="458" w:name="_Toc1138678360"/>
      <w:bookmarkStart w:id="459" w:name="_Toc22061"/>
      <w:bookmarkStart w:id="460" w:name="_Toc27468"/>
      <w:bookmarkStart w:id="461" w:name="_Toc672310262"/>
      <w:bookmarkStart w:id="462" w:name="_Toc1269729441"/>
      <w:r>
        <w:rPr>
          <w:rFonts w:hint="eastAsia" w:ascii="方正楷体_GBK" w:hAnsi="方正楷体_GBK" w:eastAsia="方正楷体_GBK" w:cs="方正楷体_GBK"/>
          <w:color w:val="auto"/>
          <w:highlight w:val="none"/>
          <w:lang w:val="en-US" w:eastAsia="zh-CN"/>
        </w:rPr>
        <w:t>（七）</w:t>
      </w:r>
      <w:r>
        <w:rPr>
          <w:rFonts w:hint="eastAsia" w:ascii="方正楷体_GBK" w:hAnsi="方正楷体_GBK" w:eastAsia="方正楷体_GBK" w:cs="方正楷体_GBK"/>
          <w:color w:val="auto"/>
          <w:highlight w:val="none"/>
          <w:lang w:val="en-US" w:eastAsia="zh"/>
        </w:rPr>
        <w:t>防震减灾能力提升工程</w:t>
      </w:r>
      <w:bookmarkEnd w:id="451"/>
      <w:bookmarkEnd w:id="452"/>
    </w:p>
    <w:p>
      <w:pPr>
        <w:keepNext w:val="0"/>
        <w:keepLines w:val="0"/>
        <w:pageBreakBefore w:val="0"/>
        <w:widowControl w:val="0"/>
        <w:suppressLineNumbers w:val="0"/>
        <w:kinsoku/>
        <w:wordWrap/>
        <w:overflowPunct w:val="0"/>
        <w:topLinePunct w:val="0"/>
        <w:autoSpaceDE/>
        <w:autoSpaceDN/>
        <w:bidi w:val="0"/>
        <w:snapToGrid w:val="0"/>
        <w:spacing w:before="0" w:beforeAutospacing="0" w:after="0" w:afterAutospacing="0" w:line="560" w:lineRule="exact"/>
        <w:ind w:left="0" w:right="0" w:firstLine="640" w:firstLineChars="200"/>
        <w:jc w:val="both"/>
        <w:rPr>
          <w:rFonts w:hint="eastAsia" w:ascii="方正仿宋_GBK" w:hAnsi="方正仿宋_GBK" w:eastAsia="方正仿宋_GBK" w:cs="方正仿宋_GBK"/>
          <w:i w:val="0"/>
          <w:iCs w:val="0"/>
          <w:caps w:val="0"/>
          <w:color w:val="auto"/>
          <w:spacing w:val="0"/>
          <w:kern w:val="0"/>
          <w:sz w:val="32"/>
          <w:szCs w:val="32"/>
          <w:highlight w:val="none"/>
          <w:lang w:val="en-US" w:eastAsia="zh" w:bidi="ar"/>
        </w:rPr>
      </w:pPr>
      <w:r>
        <w:rPr>
          <w:rFonts w:hint="eastAsia" w:ascii="方正仿宋_GBK" w:hAnsi="方正仿宋_GBK" w:eastAsia="方正仿宋_GBK" w:cs="方正仿宋_GBK"/>
          <w:i w:val="0"/>
          <w:iCs w:val="0"/>
          <w:caps w:val="0"/>
          <w:color w:val="auto"/>
          <w:spacing w:val="0"/>
          <w:kern w:val="0"/>
          <w:sz w:val="32"/>
          <w:szCs w:val="32"/>
          <w:highlight w:val="none"/>
          <w:lang w:eastAsia="zh"/>
        </w:rPr>
        <w:t>通过省市合作，推进韩江断裂、潮州</w:t>
      </w:r>
      <w:r>
        <w:rPr>
          <w:rFonts w:hint="eastAsia" w:ascii="方正仿宋_GBK" w:hAnsi="方正仿宋_GBK" w:eastAsia="方正仿宋_GBK" w:cs="方正仿宋_GBK"/>
          <w:i w:val="0"/>
          <w:iCs w:val="0"/>
          <w:caps w:val="0"/>
          <w:color w:val="auto"/>
          <w:spacing w:val="0"/>
          <w:kern w:val="0"/>
          <w:sz w:val="32"/>
          <w:szCs w:val="32"/>
          <w:highlight w:val="none"/>
          <w:lang w:eastAsia="zh-CN"/>
        </w:rPr>
        <w:t>－</w:t>
      </w:r>
      <w:r>
        <w:rPr>
          <w:rFonts w:hint="eastAsia" w:ascii="方正仿宋_GBK" w:hAnsi="方正仿宋_GBK" w:eastAsia="方正仿宋_GBK" w:cs="方正仿宋_GBK"/>
          <w:i w:val="0"/>
          <w:iCs w:val="0"/>
          <w:caps w:val="0"/>
          <w:color w:val="auto"/>
          <w:spacing w:val="0"/>
          <w:kern w:val="0"/>
          <w:sz w:val="32"/>
          <w:szCs w:val="32"/>
          <w:highlight w:val="none"/>
          <w:lang w:eastAsia="zh"/>
        </w:rPr>
        <w:t>汕尾断裂等重要断裂带及近海海域地震构造环境探查，编制地震构造图，构建三维断层模型，建设断层基础数据库。优化潮州市地震监测台站布局，推进地震监测预警预报平台智能化升级。试点</w:t>
      </w:r>
      <w:r>
        <w:rPr>
          <w:rFonts w:hint="eastAsia" w:ascii="方正仿宋_GBK" w:hAnsi="方正仿宋_GBK" w:eastAsia="方正仿宋_GBK" w:cs="方正仿宋_GBK"/>
          <w:i w:val="0"/>
          <w:iCs w:val="0"/>
          <w:caps w:val="0"/>
          <w:color w:val="auto"/>
          <w:spacing w:val="0"/>
          <w:kern w:val="0"/>
          <w:sz w:val="32"/>
          <w:szCs w:val="32"/>
          <w:highlight w:val="none"/>
          <w:lang w:val="en-US" w:eastAsia="zh-CN"/>
        </w:rPr>
        <w:t>建设</w:t>
      </w:r>
      <w:r>
        <w:rPr>
          <w:rFonts w:hint="eastAsia" w:ascii="方正仿宋_GBK" w:hAnsi="方正仿宋_GBK" w:eastAsia="方正仿宋_GBK" w:cs="方正仿宋_GBK"/>
          <w:i w:val="0"/>
          <w:iCs w:val="0"/>
          <w:caps w:val="0"/>
          <w:color w:val="auto"/>
          <w:spacing w:val="0"/>
          <w:kern w:val="0"/>
          <w:sz w:val="32"/>
          <w:szCs w:val="32"/>
          <w:highlight w:val="none"/>
          <w:lang w:eastAsia="zh"/>
        </w:rPr>
        <w:t>重大工程强震动监测设施和地震灾害风险实时感知系统，</w:t>
      </w:r>
      <w:r>
        <w:rPr>
          <w:rFonts w:hint="eastAsia" w:ascii="方正仿宋_GBK" w:hAnsi="方正仿宋_GBK" w:eastAsia="方正仿宋_GBK" w:cs="方正仿宋_GBK"/>
          <w:i w:val="0"/>
          <w:iCs w:val="0"/>
          <w:caps w:val="0"/>
          <w:color w:val="auto"/>
          <w:spacing w:val="0"/>
          <w:kern w:val="0"/>
          <w:sz w:val="32"/>
          <w:szCs w:val="32"/>
          <w:highlight w:val="none"/>
          <w:lang w:val="en-US" w:eastAsia="zh-CN"/>
        </w:rPr>
        <w:t>开展</w:t>
      </w:r>
      <w:r>
        <w:rPr>
          <w:rFonts w:hint="eastAsia" w:ascii="方正仿宋_GBK" w:hAnsi="方正仿宋_GBK" w:eastAsia="方正仿宋_GBK" w:cs="方正仿宋_GBK"/>
          <w:i w:val="0"/>
          <w:iCs w:val="0"/>
          <w:caps w:val="0"/>
          <w:color w:val="auto"/>
          <w:spacing w:val="0"/>
          <w:kern w:val="0"/>
          <w:sz w:val="32"/>
          <w:szCs w:val="32"/>
          <w:highlight w:val="none"/>
          <w:lang w:eastAsia="zh"/>
        </w:rPr>
        <w:t>城市抗震韧性风险评估。</w:t>
      </w:r>
    </w:p>
    <w:bookmarkEnd w:id="453"/>
    <w:bookmarkEnd w:id="454"/>
    <w:bookmarkEnd w:id="455"/>
    <w:bookmarkEnd w:id="456"/>
    <w:bookmarkEnd w:id="457"/>
    <w:bookmarkEnd w:id="458"/>
    <w:bookmarkEnd w:id="459"/>
    <w:bookmarkEnd w:id="460"/>
    <w:p>
      <w:pPr>
        <w:pStyle w:val="3"/>
        <w:bidi w:val="0"/>
        <w:rPr>
          <w:rFonts w:hint="default" w:ascii="方正楷体_GBK" w:hAnsi="方正楷体_GBK" w:eastAsia="方正楷体_GBK" w:cs="方正楷体_GBK"/>
          <w:color w:val="auto"/>
          <w:highlight w:val="none"/>
          <w:lang w:val="en-US" w:eastAsia="zh"/>
        </w:rPr>
      </w:pPr>
      <w:bookmarkStart w:id="463" w:name="_Toc12064"/>
      <w:bookmarkStart w:id="464" w:name="_Toc5312"/>
      <w:bookmarkStart w:id="465" w:name="_Toc6491"/>
      <w:bookmarkStart w:id="466" w:name="_Toc18249"/>
      <w:bookmarkStart w:id="467" w:name="_Toc1492670224"/>
      <w:bookmarkStart w:id="468" w:name="_Toc596555887"/>
      <w:bookmarkStart w:id="469" w:name="_Toc1384767335"/>
      <w:r>
        <w:rPr>
          <w:rFonts w:hint="eastAsia" w:ascii="方正楷体_GBK" w:hAnsi="方正楷体_GBK" w:eastAsia="方正楷体_GBK" w:cs="方正楷体_GBK"/>
          <w:color w:val="auto"/>
          <w:highlight w:val="none"/>
          <w:lang w:val="en-US" w:eastAsia="zh-CN"/>
        </w:rPr>
        <w:t>（八）</w:t>
      </w:r>
      <w:r>
        <w:rPr>
          <w:rFonts w:hint="eastAsia" w:ascii="方正楷体_GBK" w:hAnsi="方正楷体_GBK" w:eastAsia="方正楷体_GBK" w:cs="方正楷体_GBK"/>
          <w:color w:val="auto"/>
          <w:highlight w:val="none"/>
          <w:lang w:val="en-US" w:eastAsia="zh"/>
        </w:rPr>
        <w:t>森林防灭火能力提升工程</w:t>
      </w:r>
      <w:bookmarkEnd w:id="463"/>
      <w:bookmarkEnd w:id="464"/>
      <w:bookmarkEnd w:id="465"/>
      <w:bookmarkEnd w:id="466"/>
      <w:bookmarkEnd w:id="467"/>
      <w:bookmarkEnd w:id="468"/>
    </w:p>
    <w:p>
      <w:pPr>
        <w:keepNext w:val="0"/>
        <w:keepLines w:val="0"/>
        <w:pageBreakBefore w:val="0"/>
        <w:widowControl w:val="0"/>
        <w:suppressLineNumbers w:val="0"/>
        <w:kinsoku/>
        <w:wordWrap/>
        <w:overflowPunct w:val="0"/>
        <w:topLinePunct w:val="0"/>
        <w:autoSpaceDE/>
        <w:autoSpaceDN/>
        <w:bidi w:val="0"/>
        <w:snapToGrid w:val="0"/>
        <w:spacing w:before="0" w:beforeAutospacing="0" w:after="0" w:afterAutospacing="0" w:line="560" w:lineRule="exact"/>
        <w:ind w:left="0" w:right="0" w:firstLine="640" w:firstLineChars="200"/>
        <w:jc w:val="both"/>
        <w:rPr>
          <w:rFonts w:hint="eastAsia" w:ascii="方正仿宋_GBK" w:hAnsi="方正仿宋_GBK" w:eastAsia="方正仿宋_GBK" w:cs="方正仿宋_GBK"/>
          <w:i w:val="0"/>
          <w:iCs w:val="0"/>
          <w:caps w:val="0"/>
          <w:color w:val="auto"/>
          <w:spacing w:val="0"/>
          <w:kern w:val="0"/>
          <w:sz w:val="32"/>
          <w:szCs w:val="32"/>
          <w:highlight w:val="none"/>
          <w:lang w:val="en-US" w:eastAsia="zh-CN"/>
        </w:rPr>
      </w:pPr>
      <w:r>
        <w:rPr>
          <w:rFonts w:hint="eastAsia" w:ascii="方正仿宋_GBK" w:hAnsi="方正仿宋_GBK" w:eastAsia="方正仿宋_GBK" w:cs="方正仿宋_GBK"/>
          <w:i w:val="0"/>
          <w:iCs w:val="0"/>
          <w:caps w:val="0"/>
          <w:color w:val="auto"/>
          <w:spacing w:val="0"/>
          <w:kern w:val="0"/>
          <w:sz w:val="32"/>
          <w:szCs w:val="32"/>
          <w:highlight w:val="none"/>
          <w:lang w:val="en-US" w:eastAsia="zh"/>
        </w:rPr>
        <w:t>推动</w:t>
      </w:r>
      <w:r>
        <w:rPr>
          <w:rFonts w:hint="eastAsia" w:ascii="方正仿宋_GBK" w:hAnsi="方正仿宋_GBK" w:eastAsia="方正仿宋_GBK" w:cs="方正仿宋_GBK"/>
          <w:i w:val="0"/>
          <w:iCs w:val="0"/>
          <w:caps w:val="0"/>
          <w:color w:val="auto"/>
          <w:spacing w:val="0"/>
          <w:kern w:val="0"/>
          <w:sz w:val="32"/>
          <w:szCs w:val="32"/>
          <w:highlight w:val="none"/>
          <w:lang w:val="en-US" w:eastAsia="zh-CN"/>
        </w:rPr>
        <w:t>设立</w:t>
      </w:r>
      <w:r>
        <w:rPr>
          <w:rFonts w:hint="eastAsia" w:ascii="方正仿宋_GBK" w:hAnsi="方正仿宋_GBK" w:eastAsia="方正仿宋_GBK" w:cs="方正仿宋_GBK"/>
          <w:i w:val="0"/>
          <w:iCs w:val="0"/>
          <w:caps w:val="0"/>
          <w:color w:val="auto"/>
          <w:spacing w:val="0"/>
          <w:kern w:val="0"/>
          <w:sz w:val="32"/>
          <w:szCs w:val="32"/>
          <w:highlight w:val="none"/>
          <w:lang w:val="en-US" w:eastAsia="zh"/>
        </w:rPr>
        <w:t>市级森林消防专业队伍，建设完善市</w:t>
      </w:r>
      <w:r>
        <w:rPr>
          <w:rFonts w:hint="eastAsia" w:ascii="方正仿宋_GBK" w:hAnsi="方正仿宋_GBK" w:eastAsia="方正仿宋_GBK" w:cs="方正仿宋_GBK"/>
          <w:i w:val="0"/>
          <w:iCs w:val="0"/>
          <w:caps w:val="0"/>
          <w:color w:val="auto"/>
          <w:spacing w:val="0"/>
          <w:kern w:val="0"/>
          <w:sz w:val="32"/>
          <w:szCs w:val="32"/>
          <w:highlight w:val="none"/>
          <w:lang w:val="en-US" w:eastAsia="zh-CN"/>
        </w:rPr>
        <w:t>、</w:t>
      </w:r>
      <w:r>
        <w:rPr>
          <w:rFonts w:hint="eastAsia" w:ascii="方正仿宋_GBK" w:hAnsi="方正仿宋_GBK" w:eastAsia="方正仿宋_GBK" w:cs="方正仿宋_GBK"/>
          <w:i w:val="0"/>
          <w:iCs w:val="0"/>
          <w:caps w:val="0"/>
          <w:color w:val="auto"/>
          <w:spacing w:val="0"/>
          <w:kern w:val="0"/>
          <w:sz w:val="32"/>
          <w:szCs w:val="32"/>
          <w:highlight w:val="none"/>
          <w:lang w:val="en-US" w:eastAsia="zh"/>
        </w:rPr>
        <w:t>县（区）森林防灭火队伍</w:t>
      </w:r>
      <w:r>
        <w:rPr>
          <w:rFonts w:hint="eastAsia" w:ascii="方正仿宋_GBK" w:hAnsi="方正仿宋_GBK" w:eastAsia="方正仿宋_GBK" w:cs="方正仿宋_GBK"/>
          <w:i w:val="0"/>
          <w:iCs w:val="0"/>
          <w:caps w:val="0"/>
          <w:color w:val="auto"/>
          <w:spacing w:val="0"/>
          <w:kern w:val="0"/>
          <w:sz w:val="32"/>
          <w:szCs w:val="32"/>
          <w:highlight w:val="none"/>
          <w:lang w:val="en-US" w:eastAsia="zh-CN"/>
        </w:rPr>
        <w:t>营房基地</w:t>
      </w:r>
      <w:r>
        <w:rPr>
          <w:rFonts w:hint="eastAsia" w:ascii="方正仿宋_GBK" w:hAnsi="方正仿宋_GBK" w:eastAsia="方正仿宋_GBK" w:cs="方正仿宋_GBK"/>
          <w:i w:val="0"/>
          <w:iCs w:val="0"/>
          <w:caps w:val="0"/>
          <w:color w:val="auto"/>
          <w:spacing w:val="0"/>
          <w:kern w:val="0"/>
          <w:sz w:val="32"/>
          <w:szCs w:val="32"/>
          <w:highlight w:val="none"/>
          <w:lang w:val="en-US" w:eastAsia="zh"/>
        </w:rPr>
        <w:t>，推进高火险</w:t>
      </w:r>
      <w:r>
        <w:rPr>
          <w:rFonts w:hint="eastAsia" w:ascii="方正仿宋_GBK" w:hAnsi="方正仿宋_GBK" w:eastAsia="方正仿宋_GBK" w:cs="方正仿宋_GBK"/>
          <w:i w:val="0"/>
          <w:iCs w:val="0"/>
          <w:caps w:val="0"/>
          <w:color w:val="auto"/>
          <w:spacing w:val="0"/>
          <w:kern w:val="0"/>
          <w:sz w:val="32"/>
          <w:szCs w:val="32"/>
          <w:highlight w:val="none"/>
          <w:lang w:val="en-US" w:eastAsia="zh-CN"/>
        </w:rPr>
        <w:t>区域</w:t>
      </w:r>
      <w:r>
        <w:rPr>
          <w:rFonts w:hint="eastAsia" w:ascii="方正仿宋_GBK" w:hAnsi="方正仿宋_GBK" w:eastAsia="方正仿宋_GBK" w:cs="方正仿宋_GBK"/>
          <w:i w:val="0"/>
          <w:iCs w:val="0"/>
          <w:caps w:val="0"/>
          <w:color w:val="auto"/>
          <w:spacing w:val="0"/>
          <w:kern w:val="0"/>
          <w:sz w:val="32"/>
          <w:szCs w:val="32"/>
          <w:highlight w:val="none"/>
          <w:lang w:val="en-US" w:eastAsia="zh"/>
        </w:rPr>
        <w:t>前置营房和重点林区直升机起降点建设，开展森林防灭火队伍装备标准化建设。</w:t>
      </w:r>
      <w:r>
        <w:rPr>
          <w:rFonts w:hint="eastAsia" w:ascii="方正仿宋_GBK" w:hAnsi="方正仿宋_GBK" w:eastAsia="方正仿宋_GBK" w:cs="方正仿宋_GBK"/>
          <w:i w:val="0"/>
          <w:iCs w:val="0"/>
          <w:caps w:val="0"/>
          <w:color w:val="auto"/>
          <w:spacing w:val="0"/>
          <w:kern w:val="0"/>
          <w:sz w:val="32"/>
          <w:szCs w:val="32"/>
          <w:highlight w:val="none"/>
          <w:lang w:eastAsia="zh"/>
        </w:rPr>
        <w:t>开展林火监控系统改造建设，完善</w:t>
      </w:r>
      <w:r>
        <w:rPr>
          <w:rFonts w:hint="eastAsia" w:ascii="方正仿宋_GBK" w:hAnsi="方正仿宋_GBK" w:eastAsia="方正仿宋_GBK" w:cs="方正仿宋_GBK"/>
          <w:i w:val="0"/>
          <w:iCs w:val="0"/>
          <w:caps w:val="0"/>
          <w:color w:val="auto"/>
          <w:spacing w:val="0"/>
          <w:kern w:val="0"/>
          <w:sz w:val="32"/>
          <w:szCs w:val="32"/>
          <w:highlight w:val="none"/>
          <w:lang w:val="en-US" w:eastAsia="zh-CN"/>
        </w:rPr>
        <w:t>县、区</w:t>
      </w:r>
      <w:r>
        <w:rPr>
          <w:rFonts w:hint="eastAsia" w:ascii="方正仿宋_GBK" w:hAnsi="方正仿宋_GBK" w:eastAsia="方正仿宋_GBK" w:cs="方正仿宋_GBK"/>
          <w:i w:val="0"/>
          <w:iCs w:val="0"/>
          <w:caps w:val="0"/>
          <w:color w:val="auto"/>
          <w:spacing w:val="0"/>
          <w:kern w:val="0"/>
          <w:sz w:val="32"/>
          <w:szCs w:val="32"/>
          <w:highlight w:val="none"/>
          <w:lang w:eastAsia="zh"/>
        </w:rPr>
        <w:t>林火监控网络。加强以水灭火设施建设，实施</w:t>
      </w:r>
      <w:r>
        <w:rPr>
          <w:rFonts w:hint="eastAsia" w:ascii="方正仿宋_GBK" w:hAnsi="方正仿宋_GBK" w:eastAsia="方正仿宋_GBK" w:cs="方正仿宋_GBK"/>
          <w:i w:val="0"/>
          <w:iCs w:val="0"/>
          <w:caps w:val="0"/>
          <w:color w:val="auto"/>
          <w:spacing w:val="0"/>
          <w:kern w:val="0"/>
          <w:sz w:val="32"/>
          <w:szCs w:val="32"/>
          <w:highlight w:val="none"/>
          <w:lang w:eastAsia="zh-CN"/>
        </w:rPr>
        <w:t>“</w:t>
      </w:r>
      <w:r>
        <w:rPr>
          <w:rFonts w:hint="eastAsia" w:ascii="方正仿宋_GBK" w:hAnsi="方正仿宋_GBK" w:eastAsia="方正仿宋_GBK" w:cs="方正仿宋_GBK"/>
          <w:i w:val="0"/>
          <w:iCs w:val="0"/>
          <w:caps w:val="0"/>
          <w:color w:val="auto"/>
          <w:spacing w:val="0"/>
          <w:kern w:val="0"/>
          <w:sz w:val="32"/>
          <w:szCs w:val="32"/>
          <w:highlight w:val="none"/>
          <w:lang w:eastAsia="zh"/>
        </w:rPr>
        <w:t>引水上山</w:t>
      </w:r>
      <w:r>
        <w:rPr>
          <w:rFonts w:hint="eastAsia" w:ascii="方正仿宋_GBK" w:hAnsi="方正仿宋_GBK" w:eastAsia="方正仿宋_GBK" w:cs="方正仿宋_GBK"/>
          <w:i w:val="0"/>
          <w:iCs w:val="0"/>
          <w:caps w:val="0"/>
          <w:color w:val="auto"/>
          <w:spacing w:val="0"/>
          <w:kern w:val="0"/>
          <w:sz w:val="32"/>
          <w:szCs w:val="32"/>
          <w:highlight w:val="none"/>
          <w:lang w:eastAsia="zh-CN"/>
        </w:rPr>
        <w:t>”</w:t>
      </w:r>
      <w:r>
        <w:rPr>
          <w:rFonts w:hint="eastAsia" w:ascii="方正仿宋_GBK" w:hAnsi="方正仿宋_GBK" w:eastAsia="方正仿宋_GBK" w:cs="方正仿宋_GBK"/>
          <w:i w:val="0"/>
          <w:iCs w:val="0"/>
          <w:caps w:val="0"/>
          <w:color w:val="auto"/>
          <w:spacing w:val="0"/>
          <w:kern w:val="0"/>
          <w:sz w:val="32"/>
          <w:szCs w:val="32"/>
          <w:highlight w:val="none"/>
          <w:lang w:eastAsia="zh"/>
        </w:rPr>
        <w:t>工程。</w:t>
      </w:r>
    </w:p>
    <w:bookmarkEnd w:id="361"/>
    <w:bookmarkEnd w:id="362"/>
    <w:bookmarkEnd w:id="363"/>
    <w:bookmarkEnd w:id="364"/>
    <w:bookmarkEnd w:id="365"/>
    <w:bookmarkEnd w:id="366"/>
    <w:bookmarkEnd w:id="446"/>
    <w:bookmarkEnd w:id="447"/>
    <w:bookmarkEnd w:id="448"/>
    <w:bookmarkEnd w:id="449"/>
    <w:bookmarkEnd w:id="450"/>
    <w:bookmarkEnd w:id="461"/>
    <w:bookmarkEnd w:id="462"/>
    <w:bookmarkEnd w:id="469"/>
    <w:p>
      <w:pPr>
        <w:keepNext w:val="0"/>
        <w:keepLines w:val="0"/>
        <w:pageBreakBefore w:val="0"/>
        <w:widowControl w:val="0"/>
        <w:suppressLineNumbers w:val="0"/>
        <w:kinsoku/>
        <w:wordWrap/>
        <w:overflowPunct w:val="0"/>
        <w:topLinePunct w:val="0"/>
        <w:autoSpaceDE/>
        <w:autoSpaceDN/>
        <w:bidi w:val="0"/>
        <w:snapToGrid w:val="0"/>
        <w:spacing w:before="0" w:beforeAutospacing="0" w:after="0" w:afterAutospacing="0" w:line="560" w:lineRule="exact"/>
        <w:ind w:left="0" w:right="0" w:firstLine="640" w:firstLineChars="200"/>
        <w:jc w:val="both"/>
        <w:rPr>
          <w:rFonts w:hint="eastAsia" w:ascii="方正仿宋_GBK" w:hAnsi="方正仿宋_GBK" w:eastAsia="方正仿宋_GBK" w:cs="方正仿宋_GBK"/>
          <w:i w:val="0"/>
          <w:iCs w:val="0"/>
          <w:caps w:val="0"/>
          <w:color w:val="auto"/>
          <w:spacing w:val="0"/>
          <w:kern w:val="0"/>
          <w:sz w:val="32"/>
          <w:szCs w:val="32"/>
          <w:highlight w:val="none"/>
          <w:lang w:eastAsia="zh"/>
        </w:rPr>
      </w:pPr>
    </w:p>
    <w:p>
      <w:pPr>
        <w:bidi w:val="0"/>
        <w:rPr>
          <w:rFonts w:hint="eastAsia"/>
          <w:lang w:val="en-US" w:eastAsia="zh"/>
        </w:rPr>
      </w:pPr>
    </w:p>
    <w:sectPr>
      <w:footerReference r:id="rId6" w:type="default"/>
      <w:footnotePr>
        <w:numFmt w:val="decimalEnclosedCircleChinese"/>
      </w:footnotePr>
      <w:pgSz w:w="11906" w:h="16838"/>
      <w:pgMar w:top="1440" w:right="1800" w:bottom="1440" w:left="1800" w:header="851" w:footer="992" w:gutter="0"/>
      <w:pgNumType w:fmt="decimal"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2010600030101010101"/>
    <w:charset w:val="50"/>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
    <w:altName w:val="方正仿宋_GBK"/>
    <w:panose1 w:val="02010609060101010101"/>
    <w:charset w:val="86"/>
    <w:family w:val="auto"/>
    <w:pitch w:val="default"/>
    <w:sig w:usb0="00000000" w:usb1="00000000" w:usb2="00000016" w:usb3="00000000" w:csb0="00040001" w:csb1="00000000"/>
  </w:font>
  <w:font w:name="楷体">
    <w:altName w:val="方正楷体_GBK"/>
    <w:panose1 w:val="02010609060101010101"/>
    <w:charset w:val="86"/>
    <w:family w:val="auto"/>
    <w:pitch w:val="default"/>
    <w:sig w:usb0="00000000" w:usb1="00000000" w:usb2="00000016" w:usb3="00000000" w:csb0="00040001" w:csb1="00000000"/>
  </w:font>
  <w:font w:name="仿宋_GB2312">
    <w:altName w:val="方正仿宋_GBK"/>
    <w:panose1 w:val="02010609030101010101"/>
    <w:charset w:val="86"/>
    <w:family w:val="auto"/>
    <w:pitch w:val="default"/>
    <w:sig w:usb0="00000000" w:usb1="00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tabs>
        <w:tab w:val="left" w:pos="6700"/>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BYAAABkcnMvUEsBAhQAFAAAAAgA&#10;h07iQLNJWO7QAAAABQEAAA8AAAAAAAAAAQAgAAAAOAAAAGRycy9kb3ducmV2LnhtbFBLAQIUABQA&#10;AAAIAIdO4kA8FiLyGwIAACkEAAAOAAAAAAAAAAEAIAAAADUBAABkcnMvZTJvRG9jLnhtbFBLBQYA&#10;AAAABgAGAFkBAADCBQAAAAA=&#10;">
              <v:fill on="f" focussize="0,0"/>
              <v:stroke on="f" weight="0.5pt"/>
              <v:imagedata o:title=""/>
              <o:lock v:ext="edit" aspectratio="f"/>
              <v:textbox inset="0mm,0mm,0mm,0mm" style="mso-fit-shape-to-text:t;">
                <w:txbxContent>
                  <w:p>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documentProtection w:enforcement="0"/>
  <w:defaultTabStop w:val="420"/>
  <w:drawingGridVerticalSpacing w:val="156"/>
  <w:displayHorizontalDrawingGridEvery w:val="1"/>
  <w:displayVerticalDrawingGridEvery w:val="1"/>
  <w:noPunctuationKerning w:val="true"/>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6A1287D"/>
    <w:rsid w:val="00155351"/>
    <w:rsid w:val="004D005A"/>
    <w:rsid w:val="01211AD4"/>
    <w:rsid w:val="01E17223"/>
    <w:rsid w:val="0226548F"/>
    <w:rsid w:val="0279712E"/>
    <w:rsid w:val="02AF383B"/>
    <w:rsid w:val="033273D4"/>
    <w:rsid w:val="04465D93"/>
    <w:rsid w:val="04954DE0"/>
    <w:rsid w:val="049F51EA"/>
    <w:rsid w:val="04E470A0"/>
    <w:rsid w:val="05955EE8"/>
    <w:rsid w:val="05AD7DDA"/>
    <w:rsid w:val="05FF1BBE"/>
    <w:rsid w:val="05FF6DDB"/>
    <w:rsid w:val="060F639F"/>
    <w:rsid w:val="06163BD1"/>
    <w:rsid w:val="06935222"/>
    <w:rsid w:val="06E633D6"/>
    <w:rsid w:val="0717375D"/>
    <w:rsid w:val="079D0590"/>
    <w:rsid w:val="080D19C3"/>
    <w:rsid w:val="081D1247"/>
    <w:rsid w:val="082B759D"/>
    <w:rsid w:val="084A5DB4"/>
    <w:rsid w:val="089B6610"/>
    <w:rsid w:val="08C94802"/>
    <w:rsid w:val="08DAF66B"/>
    <w:rsid w:val="090B72F2"/>
    <w:rsid w:val="09734E97"/>
    <w:rsid w:val="09DD8FBD"/>
    <w:rsid w:val="0A4D6979"/>
    <w:rsid w:val="0A5D1AB8"/>
    <w:rsid w:val="0A85103E"/>
    <w:rsid w:val="0B7C44D7"/>
    <w:rsid w:val="0BCA5242"/>
    <w:rsid w:val="0C193AD3"/>
    <w:rsid w:val="0C5E0F04"/>
    <w:rsid w:val="0CC07D4B"/>
    <w:rsid w:val="0CE642FD"/>
    <w:rsid w:val="0CE72FF7"/>
    <w:rsid w:val="0D7D4C0F"/>
    <w:rsid w:val="0E1704E7"/>
    <w:rsid w:val="0EAE0E4B"/>
    <w:rsid w:val="0EDF055F"/>
    <w:rsid w:val="0F5117D6"/>
    <w:rsid w:val="0F621C35"/>
    <w:rsid w:val="0F6B9D51"/>
    <w:rsid w:val="0F8E0C6A"/>
    <w:rsid w:val="0FD83558"/>
    <w:rsid w:val="0FED59A3"/>
    <w:rsid w:val="1068327B"/>
    <w:rsid w:val="11431CF0"/>
    <w:rsid w:val="114535BD"/>
    <w:rsid w:val="11951E4E"/>
    <w:rsid w:val="122356AC"/>
    <w:rsid w:val="125735A8"/>
    <w:rsid w:val="12A10CC7"/>
    <w:rsid w:val="12B6101D"/>
    <w:rsid w:val="12D15108"/>
    <w:rsid w:val="13772741"/>
    <w:rsid w:val="148775B8"/>
    <w:rsid w:val="14942891"/>
    <w:rsid w:val="14C03686"/>
    <w:rsid w:val="150D2643"/>
    <w:rsid w:val="153A7C60"/>
    <w:rsid w:val="15EC4007"/>
    <w:rsid w:val="15ED4312"/>
    <w:rsid w:val="16261842"/>
    <w:rsid w:val="1690555D"/>
    <w:rsid w:val="16A62408"/>
    <w:rsid w:val="17570C8C"/>
    <w:rsid w:val="18FE477D"/>
    <w:rsid w:val="18FF4051"/>
    <w:rsid w:val="19037D42"/>
    <w:rsid w:val="19263CD4"/>
    <w:rsid w:val="194B7296"/>
    <w:rsid w:val="1A765EA6"/>
    <w:rsid w:val="1AA111BD"/>
    <w:rsid w:val="1AB175CD"/>
    <w:rsid w:val="1AE867AB"/>
    <w:rsid w:val="1BAE2C70"/>
    <w:rsid w:val="1BBC655F"/>
    <w:rsid w:val="1BF70B1B"/>
    <w:rsid w:val="1C314E69"/>
    <w:rsid w:val="1CB05D8E"/>
    <w:rsid w:val="1DA13929"/>
    <w:rsid w:val="1E7E1EBC"/>
    <w:rsid w:val="1EA96F39"/>
    <w:rsid w:val="1FC70A6E"/>
    <w:rsid w:val="1FCB47BC"/>
    <w:rsid w:val="20885551"/>
    <w:rsid w:val="20ED7FD0"/>
    <w:rsid w:val="21556F04"/>
    <w:rsid w:val="217F0425"/>
    <w:rsid w:val="219D27E9"/>
    <w:rsid w:val="219F0AC7"/>
    <w:rsid w:val="22592A24"/>
    <w:rsid w:val="22664EDF"/>
    <w:rsid w:val="227E468F"/>
    <w:rsid w:val="22AA7723"/>
    <w:rsid w:val="23210F8D"/>
    <w:rsid w:val="232F735E"/>
    <w:rsid w:val="234F0D41"/>
    <w:rsid w:val="23547C10"/>
    <w:rsid w:val="23B0006D"/>
    <w:rsid w:val="23CD6176"/>
    <w:rsid w:val="24787193"/>
    <w:rsid w:val="24D73F6A"/>
    <w:rsid w:val="24E8008F"/>
    <w:rsid w:val="25553977"/>
    <w:rsid w:val="25AE4599"/>
    <w:rsid w:val="25CB75F5"/>
    <w:rsid w:val="25D036D0"/>
    <w:rsid w:val="25FFAD84"/>
    <w:rsid w:val="27C379AD"/>
    <w:rsid w:val="287C13EA"/>
    <w:rsid w:val="2890005E"/>
    <w:rsid w:val="289C18BC"/>
    <w:rsid w:val="28D472A8"/>
    <w:rsid w:val="28F79E55"/>
    <w:rsid w:val="29345F99"/>
    <w:rsid w:val="29817563"/>
    <w:rsid w:val="29D3130E"/>
    <w:rsid w:val="2A502A42"/>
    <w:rsid w:val="2AA902C1"/>
    <w:rsid w:val="2AD12E42"/>
    <w:rsid w:val="2B6050C6"/>
    <w:rsid w:val="2BA50CCE"/>
    <w:rsid w:val="2C9A4365"/>
    <w:rsid w:val="2D12039F"/>
    <w:rsid w:val="2DBF048A"/>
    <w:rsid w:val="2E5A5DB3"/>
    <w:rsid w:val="2E861045"/>
    <w:rsid w:val="2E8A59CB"/>
    <w:rsid w:val="2F2820FC"/>
    <w:rsid w:val="2F72AD19"/>
    <w:rsid w:val="2FFA4B58"/>
    <w:rsid w:val="2FFB511A"/>
    <w:rsid w:val="32902492"/>
    <w:rsid w:val="32C57752"/>
    <w:rsid w:val="32F32A21"/>
    <w:rsid w:val="33B40C0D"/>
    <w:rsid w:val="33E5680D"/>
    <w:rsid w:val="33EBD29B"/>
    <w:rsid w:val="34E70D83"/>
    <w:rsid w:val="35341C89"/>
    <w:rsid w:val="35563ECB"/>
    <w:rsid w:val="355D1A03"/>
    <w:rsid w:val="35E61FE0"/>
    <w:rsid w:val="36AE1139"/>
    <w:rsid w:val="36EA459D"/>
    <w:rsid w:val="36FE7145"/>
    <w:rsid w:val="37661A13"/>
    <w:rsid w:val="37B3277F"/>
    <w:rsid w:val="37D42E21"/>
    <w:rsid w:val="37EA7AD0"/>
    <w:rsid w:val="37FE57F8"/>
    <w:rsid w:val="37FEF0D5"/>
    <w:rsid w:val="387463B2"/>
    <w:rsid w:val="38832151"/>
    <w:rsid w:val="38F512A1"/>
    <w:rsid w:val="394D6D69"/>
    <w:rsid w:val="39BE5BA6"/>
    <w:rsid w:val="39CF0AF5"/>
    <w:rsid w:val="39E7FBFA"/>
    <w:rsid w:val="39F5563F"/>
    <w:rsid w:val="3A3E4582"/>
    <w:rsid w:val="3A9460C2"/>
    <w:rsid w:val="3A9F5014"/>
    <w:rsid w:val="3AF39923"/>
    <w:rsid w:val="3BC39AF0"/>
    <w:rsid w:val="3BDED849"/>
    <w:rsid w:val="3C1A2DCC"/>
    <w:rsid w:val="3C1A7E59"/>
    <w:rsid w:val="3DBE1472"/>
    <w:rsid w:val="3DD269F5"/>
    <w:rsid w:val="3E6D5F48"/>
    <w:rsid w:val="3E80785E"/>
    <w:rsid w:val="3E952BDE"/>
    <w:rsid w:val="3EBF1C11"/>
    <w:rsid w:val="3EDF8CC9"/>
    <w:rsid w:val="3F0929C5"/>
    <w:rsid w:val="3F4FF686"/>
    <w:rsid w:val="3F8213B4"/>
    <w:rsid w:val="3FB53095"/>
    <w:rsid w:val="3FF50412"/>
    <w:rsid w:val="3FFB3DC0"/>
    <w:rsid w:val="3FFD13AA"/>
    <w:rsid w:val="3FFFAD8C"/>
    <w:rsid w:val="40EA6776"/>
    <w:rsid w:val="415A4AB8"/>
    <w:rsid w:val="417345D0"/>
    <w:rsid w:val="41C6129B"/>
    <w:rsid w:val="425F778B"/>
    <w:rsid w:val="42B51AA1"/>
    <w:rsid w:val="42BA7011"/>
    <w:rsid w:val="42DA06AC"/>
    <w:rsid w:val="4340580E"/>
    <w:rsid w:val="43503578"/>
    <w:rsid w:val="4395028B"/>
    <w:rsid w:val="43AB10BD"/>
    <w:rsid w:val="43D9531B"/>
    <w:rsid w:val="43DE4EBE"/>
    <w:rsid w:val="43F97D86"/>
    <w:rsid w:val="441D3FBC"/>
    <w:rsid w:val="458D5460"/>
    <w:rsid w:val="462A4554"/>
    <w:rsid w:val="462E7BA0"/>
    <w:rsid w:val="468F636D"/>
    <w:rsid w:val="46C40504"/>
    <w:rsid w:val="46E666CD"/>
    <w:rsid w:val="47E72F20"/>
    <w:rsid w:val="48523EE0"/>
    <w:rsid w:val="48561543"/>
    <w:rsid w:val="486D24D6"/>
    <w:rsid w:val="48903844"/>
    <w:rsid w:val="48A00CF2"/>
    <w:rsid w:val="491D3EFC"/>
    <w:rsid w:val="4A084BAC"/>
    <w:rsid w:val="4A280647"/>
    <w:rsid w:val="4A4F27DB"/>
    <w:rsid w:val="4AB12FBE"/>
    <w:rsid w:val="4AE7CAB4"/>
    <w:rsid w:val="4B224485"/>
    <w:rsid w:val="4B571947"/>
    <w:rsid w:val="4B69167A"/>
    <w:rsid w:val="4B73046D"/>
    <w:rsid w:val="4B7324F9"/>
    <w:rsid w:val="4B8B7843"/>
    <w:rsid w:val="4BAB3A41"/>
    <w:rsid w:val="4BBFDF52"/>
    <w:rsid w:val="4D0F1DAD"/>
    <w:rsid w:val="4D297313"/>
    <w:rsid w:val="4D2A14F3"/>
    <w:rsid w:val="4D53466B"/>
    <w:rsid w:val="4D654DF9"/>
    <w:rsid w:val="4DE158C8"/>
    <w:rsid w:val="4DE17BEE"/>
    <w:rsid w:val="4ED61F82"/>
    <w:rsid w:val="4EED13DB"/>
    <w:rsid w:val="4F3B1745"/>
    <w:rsid w:val="4F45629F"/>
    <w:rsid w:val="4FB75CBB"/>
    <w:rsid w:val="4FFB35B7"/>
    <w:rsid w:val="4FFF9E39"/>
    <w:rsid w:val="5129772C"/>
    <w:rsid w:val="51BD4675"/>
    <w:rsid w:val="51EC090F"/>
    <w:rsid w:val="520E4D2A"/>
    <w:rsid w:val="52331881"/>
    <w:rsid w:val="5254700F"/>
    <w:rsid w:val="526F3A1A"/>
    <w:rsid w:val="52F34726"/>
    <w:rsid w:val="533E33EC"/>
    <w:rsid w:val="53416A23"/>
    <w:rsid w:val="53BF9973"/>
    <w:rsid w:val="53BFD93B"/>
    <w:rsid w:val="53E67D0C"/>
    <w:rsid w:val="54586448"/>
    <w:rsid w:val="54FD4B82"/>
    <w:rsid w:val="553265E9"/>
    <w:rsid w:val="55D43B94"/>
    <w:rsid w:val="56010E2D"/>
    <w:rsid w:val="56356D29"/>
    <w:rsid w:val="56680063"/>
    <w:rsid w:val="56A1287D"/>
    <w:rsid w:val="57D52571"/>
    <w:rsid w:val="57E3A2B7"/>
    <w:rsid w:val="57E5652D"/>
    <w:rsid w:val="58156E12"/>
    <w:rsid w:val="58223754"/>
    <w:rsid w:val="58BC54DF"/>
    <w:rsid w:val="593B037E"/>
    <w:rsid w:val="593C3F2A"/>
    <w:rsid w:val="59D10B16"/>
    <w:rsid w:val="5A315A59"/>
    <w:rsid w:val="5AAC3332"/>
    <w:rsid w:val="5B094109"/>
    <w:rsid w:val="5B1C5DFC"/>
    <w:rsid w:val="5BBE737B"/>
    <w:rsid w:val="5BE7C6DD"/>
    <w:rsid w:val="5C643EC4"/>
    <w:rsid w:val="5C723F97"/>
    <w:rsid w:val="5D131446"/>
    <w:rsid w:val="5D7F481C"/>
    <w:rsid w:val="5D8461A0"/>
    <w:rsid w:val="5DFA3716"/>
    <w:rsid w:val="5E2839F2"/>
    <w:rsid w:val="5E3E4FE1"/>
    <w:rsid w:val="5EA03DC1"/>
    <w:rsid w:val="5EF05EE3"/>
    <w:rsid w:val="5EFB4665"/>
    <w:rsid w:val="5F2E6A0B"/>
    <w:rsid w:val="5F4F0E5B"/>
    <w:rsid w:val="5F7FFB35"/>
    <w:rsid w:val="5FB17DDF"/>
    <w:rsid w:val="5FEB31B3"/>
    <w:rsid w:val="5FEB56D4"/>
    <w:rsid w:val="5FFBE37F"/>
    <w:rsid w:val="60255718"/>
    <w:rsid w:val="604F09E7"/>
    <w:rsid w:val="605026B2"/>
    <w:rsid w:val="607636F3"/>
    <w:rsid w:val="60ED4878"/>
    <w:rsid w:val="6131633F"/>
    <w:rsid w:val="61484879"/>
    <w:rsid w:val="61DB4C28"/>
    <w:rsid w:val="625A0E19"/>
    <w:rsid w:val="62B0118B"/>
    <w:rsid w:val="62BF00A6"/>
    <w:rsid w:val="62E62D9D"/>
    <w:rsid w:val="643D422B"/>
    <w:rsid w:val="64572560"/>
    <w:rsid w:val="6495275C"/>
    <w:rsid w:val="64A82DBC"/>
    <w:rsid w:val="64BD344B"/>
    <w:rsid w:val="64E262CE"/>
    <w:rsid w:val="65972DAB"/>
    <w:rsid w:val="65C642A8"/>
    <w:rsid w:val="66880618"/>
    <w:rsid w:val="6754753A"/>
    <w:rsid w:val="67966DD1"/>
    <w:rsid w:val="67DF2214"/>
    <w:rsid w:val="67FFAC11"/>
    <w:rsid w:val="687927A2"/>
    <w:rsid w:val="697D0373"/>
    <w:rsid w:val="69974348"/>
    <w:rsid w:val="6AAA05A9"/>
    <w:rsid w:val="6ADE7D03"/>
    <w:rsid w:val="6AED2B37"/>
    <w:rsid w:val="6AF723A7"/>
    <w:rsid w:val="6B205A4B"/>
    <w:rsid w:val="6B3E0EAD"/>
    <w:rsid w:val="6B453112"/>
    <w:rsid w:val="6B7D50A7"/>
    <w:rsid w:val="6CB87914"/>
    <w:rsid w:val="6DDA24CA"/>
    <w:rsid w:val="6DF747DB"/>
    <w:rsid w:val="6E7B1533"/>
    <w:rsid w:val="6EF8059E"/>
    <w:rsid w:val="6EFE284E"/>
    <w:rsid w:val="6F53259E"/>
    <w:rsid w:val="6F7B0157"/>
    <w:rsid w:val="6FA75B73"/>
    <w:rsid w:val="6FAFCF30"/>
    <w:rsid w:val="6FB13D03"/>
    <w:rsid w:val="6FDD87A8"/>
    <w:rsid w:val="6FDE1D1E"/>
    <w:rsid w:val="6FF70753"/>
    <w:rsid w:val="6FF784A2"/>
    <w:rsid w:val="6FFFB20E"/>
    <w:rsid w:val="70673B2B"/>
    <w:rsid w:val="708E31E1"/>
    <w:rsid w:val="7163702D"/>
    <w:rsid w:val="71793B16"/>
    <w:rsid w:val="728C6DAD"/>
    <w:rsid w:val="73132E7A"/>
    <w:rsid w:val="734939BC"/>
    <w:rsid w:val="738A200A"/>
    <w:rsid w:val="7397B59B"/>
    <w:rsid w:val="739F112D"/>
    <w:rsid w:val="73AE7F11"/>
    <w:rsid w:val="7439758C"/>
    <w:rsid w:val="748527D2"/>
    <w:rsid w:val="7512779D"/>
    <w:rsid w:val="75340AB1"/>
    <w:rsid w:val="7539CF51"/>
    <w:rsid w:val="759E7CCF"/>
    <w:rsid w:val="75BFE526"/>
    <w:rsid w:val="76487F5B"/>
    <w:rsid w:val="76872831"/>
    <w:rsid w:val="76C53359"/>
    <w:rsid w:val="76F105F2"/>
    <w:rsid w:val="777E133C"/>
    <w:rsid w:val="777F21D0"/>
    <w:rsid w:val="77CF3A0C"/>
    <w:rsid w:val="77ED08CD"/>
    <w:rsid w:val="780E4CEF"/>
    <w:rsid w:val="78252301"/>
    <w:rsid w:val="786A1F2A"/>
    <w:rsid w:val="789F3559"/>
    <w:rsid w:val="793F73F3"/>
    <w:rsid w:val="7949283E"/>
    <w:rsid w:val="79BFBB3D"/>
    <w:rsid w:val="79CE4C1B"/>
    <w:rsid w:val="79F63478"/>
    <w:rsid w:val="7A0A6FA6"/>
    <w:rsid w:val="7A22626F"/>
    <w:rsid w:val="7A295309"/>
    <w:rsid w:val="7A634DEF"/>
    <w:rsid w:val="7AEA5A84"/>
    <w:rsid w:val="7AF3CC5F"/>
    <w:rsid w:val="7B595EB9"/>
    <w:rsid w:val="7B62561B"/>
    <w:rsid w:val="7BCBD16D"/>
    <w:rsid w:val="7C3F0BBA"/>
    <w:rsid w:val="7CAC0AC0"/>
    <w:rsid w:val="7D050418"/>
    <w:rsid w:val="7D5EE99F"/>
    <w:rsid w:val="7D7694BC"/>
    <w:rsid w:val="7D9A5540"/>
    <w:rsid w:val="7DBD9786"/>
    <w:rsid w:val="7DF355A5"/>
    <w:rsid w:val="7E8E6727"/>
    <w:rsid w:val="7EA66DD5"/>
    <w:rsid w:val="7EAA17B2"/>
    <w:rsid w:val="7EB6752D"/>
    <w:rsid w:val="7EDF01F2"/>
    <w:rsid w:val="7EDF1E4D"/>
    <w:rsid w:val="7F23691D"/>
    <w:rsid w:val="7F5F83CE"/>
    <w:rsid w:val="7F7FF8C3"/>
    <w:rsid w:val="7F9F8CDF"/>
    <w:rsid w:val="7FAF7CE1"/>
    <w:rsid w:val="7FBD0FAA"/>
    <w:rsid w:val="7FBD5498"/>
    <w:rsid w:val="7FCF644E"/>
    <w:rsid w:val="7FE9630A"/>
    <w:rsid w:val="7FEE9ED6"/>
    <w:rsid w:val="7FEF05A4"/>
    <w:rsid w:val="87F7E7FD"/>
    <w:rsid w:val="9976C025"/>
    <w:rsid w:val="9D9FCE6D"/>
    <w:rsid w:val="9F2F227C"/>
    <w:rsid w:val="A2DC5F8F"/>
    <w:rsid w:val="A39F7C19"/>
    <w:rsid w:val="AD5A503A"/>
    <w:rsid w:val="AD5EC4C6"/>
    <w:rsid w:val="AD7FE084"/>
    <w:rsid w:val="AE7BD4B0"/>
    <w:rsid w:val="AED40CED"/>
    <w:rsid w:val="AEE7AD8D"/>
    <w:rsid w:val="AEEEB9C9"/>
    <w:rsid w:val="AFFAF1F5"/>
    <w:rsid w:val="B07E2C02"/>
    <w:rsid w:val="B09F70F9"/>
    <w:rsid w:val="B0CB5F50"/>
    <w:rsid w:val="B31F1DE5"/>
    <w:rsid w:val="B6F7EE13"/>
    <w:rsid w:val="BBBFCB19"/>
    <w:rsid w:val="BBF8246D"/>
    <w:rsid w:val="BD679FC5"/>
    <w:rsid w:val="BD8D81ED"/>
    <w:rsid w:val="BDFA8F20"/>
    <w:rsid w:val="BDFBCF7A"/>
    <w:rsid w:val="BF3A0A00"/>
    <w:rsid w:val="BF67BF99"/>
    <w:rsid w:val="BF7C56E8"/>
    <w:rsid w:val="BFEF7A01"/>
    <w:rsid w:val="BFF12288"/>
    <w:rsid w:val="BFFF3909"/>
    <w:rsid w:val="C5CF46B9"/>
    <w:rsid w:val="CCBB2E1C"/>
    <w:rsid w:val="CD7580A6"/>
    <w:rsid w:val="CF722022"/>
    <w:rsid w:val="D0FC8F28"/>
    <w:rsid w:val="D29FB424"/>
    <w:rsid w:val="D37EBFFA"/>
    <w:rsid w:val="D3EEDBB7"/>
    <w:rsid w:val="D3FEB6E1"/>
    <w:rsid w:val="D57F9D3C"/>
    <w:rsid w:val="D5CF6F67"/>
    <w:rsid w:val="D6BF08E9"/>
    <w:rsid w:val="D7BE2F0E"/>
    <w:rsid w:val="D7C7E55A"/>
    <w:rsid w:val="D7D3F13B"/>
    <w:rsid w:val="DB131DAE"/>
    <w:rsid w:val="DCE94BFA"/>
    <w:rsid w:val="DD57D053"/>
    <w:rsid w:val="DD73FC03"/>
    <w:rsid w:val="DDB7FAFF"/>
    <w:rsid w:val="DDBB9EE7"/>
    <w:rsid w:val="DDF33B4F"/>
    <w:rsid w:val="DEB7A9DD"/>
    <w:rsid w:val="DEDCD3D6"/>
    <w:rsid w:val="DEFA2A1E"/>
    <w:rsid w:val="DEFE95AF"/>
    <w:rsid w:val="DF3F4001"/>
    <w:rsid w:val="DFBE3462"/>
    <w:rsid w:val="DFD9BC55"/>
    <w:rsid w:val="DFF68DA7"/>
    <w:rsid w:val="E1FF3E82"/>
    <w:rsid w:val="E26DE043"/>
    <w:rsid w:val="E3FB2361"/>
    <w:rsid w:val="E6FB633A"/>
    <w:rsid w:val="E77B64D2"/>
    <w:rsid w:val="EB134053"/>
    <w:rsid w:val="EBB2CD79"/>
    <w:rsid w:val="EC994B75"/>
    <w:rsid w:val="ECFBAB3B"/>
    <w:rsid w:val="EDEB4A7D"/>
    <w:rsid w:val="EE6B18FF"/>
    <w:rsid w:val="EEF1D40A"/>
    <w:rsid w:val="EF3BAA43"/>
    <w:rsid w:val="EF6E62C6"/>
    <w:rsid w:val="EFB75F31"/>
    <w:rsid w:val="EFDFB54B"/>
    <w:rsid w:val="EFE9A806"/>
    <w:rsid w:val="EFEFDD6E"/>
    <w:rsid w:val="EFFFA2A1"/>
    <w:rsid w:val="F037AFC9"/>
    <w:rsid w:val="F2FF265A"/>
    <w:rsid w:val="F31D35E0"/>
    <w:rsid w:val="F3B741A1"/>
    <w:rsid w:val="F3DB7D6B"/>
    <w:rsid w:val="F3EB2E8B"/>
    <w:rsid w:val="F3FD064A"/>
    <w:rsid w:val="F3FF78CC"/>
    <w:rsid w:val="F4754272"/>
    <w:rsid w:val="F5D5D99D"/>
    <w:rsid w:val="F5FEE04F"/>
    <w:rsid w:val="F65F609F"/>
    <w:rsid w:val="F6F515EC"/>
    <w:rsid w:val="F6FA4D1A"/>
    <w:rsid w:val="F7BB69BE"/>
    <w:rsid w:val="F7FB088B"/>
    <w:rsid w:val="F7FB5CF2"/>
    <w:rsid w:val="F8FC0662"/>
    <w:rsid w:val="F8FEABB0"/>
    <w:rsid w:val="F99FF958"/>
    <w:rsid w:val="FABEB9F6"/>
    <w:rsid w:val="FADF942B"/>
    <w:rsid w:val="FB2E653E"/>
    <w:rsid w:val="FB7691EB"/>
    <w:rsid w:val="FBB7864E"/>
    <w:rsid w:val="FBBF0FCF"/>
    <w:rsid w:val="FBCFF695"/>
    <w:rsid w:val="FBD84984"/>
    <w:rsid w:val="FBFF306F"/>
    <w:rsid w:val="FBFF4401"/>
    <w:rsid w:val="FBFF7DCE"/>
    <w:rsid w:val="FD5706CD"/>
    <w:rsid w:val="FD731888"/>
    <w:rsid w:val="FD764D4C"/>
    <w:rsid w:val="FD8D48B8"/>
    <w:rsid w:val="FDB8E85C"/>
    <w:rsid w:val="FDDD367E"/>
    <w:rsid w:val="FDEC48A9"/>
    <w:rsid w:val="FDED2418"/>
    <w:rsid w:val="FDF72A16"/>
    <w:rsid w:val="FDFAC924"/>
    <w:rsid w:val="FDFB3CE4"/>
    <w:rsid w:val="FDFF83BB"/>
    <w:rsid w:val="FE5FBEC7"/>
    <w:rsid w:val="FE6F335D"/>
    <w:rsid w:val="FE7DC01F"/>
    <w:rsid w:val="FE7F0113"/>
    <w:rsid w:val="FECE01EF"/>
    <w:rsid w:val="FEE87FE3"/>
    <w:rsid w:val="FEEE9EA6"/>
    <w:rsid w:val="FEEECD92"/>
    <w:rsid w:val="FEFFA097"/>
    <w:rsid w:val="FF3FB16D"/>
    <w:rsid w:val="FF74F783"/>
    <w:rsid w:val="FF7C93A3"/>
    <w:rsid w:val="FF8B7EA9"/>
    <w:rsid w:val="FFDBB842"/>
    <w:rsid w:val="FFED43B3"/>
    <w:rsid w:val="FFF3604A"/>
    <w:rsid w:val="FFF680B6"/>
    <w:rsid w:val="FFF95776"/>
    <w:rsid w:val="FFFC02B4"/>
    <w:rsid w:val="FFFFA068"/>
    <w:rsid w:val="FFFFA310"/>
    <w:rsid w:val="FFFFE094"/>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iPriority="99"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link w:val="29"/>
    <w:qFormat/>
    <w:uiPriority w:val="0"/>
    <w:pPr>
      <w:widowControl w:val="0"/>
      <w:overflowPunct w:val="0"/>
      <w:adjustRightInd w:val="0"/>
      <w:snapToGrid w:val="0"/>
      <w:spacing w:line="560" w:lineRule="exact"/>
      <w:ind w:firstLine="640" w:firstLineChars="200"/>
      <w:jc w:val="both"/>
    </w:pPr>
    <w:rPr>
      <w:rFonts w:ascii="Times New Roman" w:hAnsi="Times New Roman" w:eastAsia="仿宋" w:cs="Times New Roman"/>
      <w:color w:val="auto"/>
      <w:kern w:val="0"/>
      <w:sz w:val="32"/>
      <w:szCs w:val="22"/>
      <w:highlight w:val="none"/>
      <w:lang w:val="en-US" w:eastAsia="zh" w:bidi="ar"/>
    </w:rPr>
  </w:style>
  <w:style w:type="paragraph" w:styleId="2">
    <w:name w:val="heading 1"/>
    <w:basedOn w:val="1"/>
    <w:next w:val="1"/>
    <w:qFormat/>
    <w:uiPriority w:val="0"/>
    <w:pPr>
      <w:widowControl/>
      <w:spacing w:before="100" w:beforeLines="100" w:beforeAutospacing="0" w:after="100" w:afterLines="100" w:afterAutospacing="0" w:line="560" w:lineRule="exact"/>
      <w:ind w:firstLine="0" w:firstLineChars="0"/>
      <w:jc w:val="center"/>
      <w:outlineLvl w:val="0"/>
    </w:pPr>
    <w:rPr>
      <w:rFonts w:ascii="宋体" w:hAnsi="宋体" w:eastAsia="黑体" w:cs="宋体"/>
      <w:bCs/>
      <w:kern w:val="36"/>
      <w:szCs w:val="48"/>
    </w:rPr>
  </w:style>
  <w:style w:type="paragraph" w:styleId="3">
    <w:name w:val="heading 2"/>
    <w:basedOn w:val="2"/>
    <w:next w:val="1"/>
    <w:link w:val="28"/>
    <w:unhideWhenUsed/>
    <w:qFormat/>
    <w:uiPriority w:val="0"/>
    <w:pPr>
      <w:keepNext w:val="0"/>
      <w:keepLines w:val="0"/>
      <w:spacing w:before="50" w:beforeLines="50" w:beforeAutospacing="0" w:after="50" w:afterLines="50" w:afterAutospacing="0" w:line="560" w:lineRule="atLeast"/>
      <w:outlineLvl w:val="1"/>
    </w:pPr>
    <w:rPr>
      <w:rFonts w:ascii="Times New Roman" w:hAnsi="Times New Roman" w:eastAsia="楷体"/>
    </w:rPr>
  </w:style>
  <w:style w:type="paragraph" w:styleId="4">
    <w:name w:val="heading 3"/>
    <w:basedOn w:val="1"/>
    <w:next w:val="1"/>
    <w:link w:val="27"/>
    <w:unhideWhenUsed/>
    <w:qFormat/>
    <w:uiPriority w:val="0"/>
    <w:pPr>
      <w:keepNext/>
      <w:keepLines/>
      <w:adjustRightInd w:val="0"/>
      <w:spacing w:before="0" w:beforeLines="0" w:beforeAutospacing="0" w:after="0" w:afterLines="0" w:afterAutospacing="0" w:line="560" w:lineRule="exact"/>
      <w:outlineLvl w:val="2"/>
    </w:pPr>
    <w:rPr>
      <w:b/>
      <w:szCs w:val="30"/>
    </w:rPr>
  </w:style>
  <w:style w:type="paragraph" w:styleId="5">
    <w:name w:val="heading 4"/>
    <w:basedOn w:val="1"/>
    <w:next w:val="1"/>
    <w:link w:val="33"/>
    <w:unhideWhenUsed/>
    <w:qFormat/>
    <w:uiPriority w:val="0"/>
    <w:pPr>
      <w:keepNext/>
      <w:keepLines/>
      <w:spacing w:before="280" w:beforeLines="0" w:beforeAutospacing="0" w:after="290" w:afterLines="0" w:afterAutospacing="0" w:line="372" w:lineRule="auto"/>
      <w:outlineLvl w:val="3"/>
    </w:pPr>
    <w:rPr>
      <w:rFonts w:ascii="Arial" w:hAnsi="Arial" w:eastAsia="黑体"/>
      <w:b/>
      <w:sz w:val="28"/>
    </w:rPr>
  </w:style>
  <w:style w:type="paragraph" w:styleId="6">
    <w:name w:val="heading 5"/>
    <w:basedOn w:val="1"/>
    <w:next w:val="1"/>
    <w:unhideWhenUsed/>
    <w:qFormat/>
    <w:uiPriority w:val="0"/>
    <w:pPr>
      <w:keepNext/>
      <w:keepLines/>
      <w:spacing w:before="280" w:beforeLines="0" w:beforeAutospacing="0" w:after="290" w:afterLines="0" w:afterAutospacing="0" w:line="372" w:lineRule="auto"/>
      <w:outlineLvl w:val="4"/>
    </w:pPr>
    <w:rPr>
      <w:b/>
      <w:sz w:val="28"/>
    </w:rPr>
  </w:style>
  <w:style w:type="character" w:default="1" w:styleId="23">
    <w:name w:val="Default Paragraph Font"/>
    <w:semiHidden/>
    <w:qFormat/>
    <w:uiPriority w:val="0"/>
  </w:style>
  <w:style w:type="table" w:default="1" w:styleId="21">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7">
    <w:name w:val="Normal Indent"/>
    <w:basedOn w:val="1"/>
    <w:qFormat/>
    <w:uiPriority w:val="0"/>
    <w:pPr>
      <w:keepNext w:val="0"/>
      <w:keepLines w:val="0"/>
      <w:widowControl w:val="0"/>
      <w:suppressLineNumbers w:val="0"/>
      <w:spacing w:before="0" w:beforeAutospacing="0" w:after="0" w:afterAutospacing="0"/>
      <w:ind w:left="0" w:right="0" w:firstLine="420"/>
      <w:jc w:val="both"/>
    </w:pPr>
    <w:rPr>
      <w:rFonts w:hint="eastAsia" w:ascii="宋体" w:hAnsi="Courier New" w:eastAsia="宋体" w:cs="宋体"/>
      <w:kern w:val="0"/>
      <w:sz w:val="20"/>
      <w:szCs w:val="20"/>
      <w:lang w:val="en-US" w:eastAsia="zh-CN" w:bidi="ar"/>
    </w:rPr>
  </w:style>
  <w:style w:type="paragraph" w:styleId="8">
    <w:name w:val="annotation text"/>
    <w:basedOn w:val="1"/>
    <w:qFormat/>
    <w:uiPriority w:val="0"/>
    <w:pPr>
      <w:jc w:val="left"/>
    </w:pPr>
  </w:style>
  <w:style w:type="paragraph" w:styleId="9">
    <w:name w:val="Body Text"/>
    <w:basedOn w:val="1"/>
    <w:qFormat/>
    <w:uiPriority w:val="0"/>
    <w:pPr>
      <w:spacing w:after="120" w:afterAutospacing="0"/>
    </w:pPr>
  </w:style>
  <w:style w:type="paragraph" w:styleId="10">
    <w:name w:val="Body Text Indent"/>
    <w:basedOn w:val="1"/>
    <w:qFormat/>
    <w:uiPriority w:val="0"/>
    <w:pPr>
      <w:ind w:firstLine="640" w:firstLineChars="200"/>
    </w:pPr>
    <w:rPr>
      <w:sz w:val="32"/>
    </w:rPr>
  </w:style>
  <w:style w:type="paragraph" w:styleId="11">
    <w:name w:val="toc 3"/>
    <w:basedOn w:val="1"/>
    <w:next w:val="1"/>
    <w:qFormat/>
    <w:uiPriority w:val="0"/>
    <w:pPr>
      <w:spacing w:line="560" w:lineRule="exact"/>
      <w:ind w:left="840" w:leftChars="400"/>
    </w:pPr>
    <w:rPr>
      <w:rFonts w:ascii="Times New Roman" w:hAnsi="Times New Roman" w:eastAsia="仿宋"/>
      <w:sz w:val="28"/>
    </w:rPr>
  </w:style>
  <w:style w:type="paragraph" w:styleId="12">
    <w:name w:val="Plain Text"/>
    <w:basedOn w:val="1"/>
    <w:qFormat/>
    <w:uiPriority w:val="0"/>
    <w:pPr>
      <w:spacing w:line="240" w:lineRule="auto"/>
      <w:ind w:firstLine="0" w:firstLineChars="0"/>
    </w:pPr>
    <w:rPr>
      <w:rFonts w:ascii="宋体" w:hAnsi="宋体" w:eastAsia="仿宋_GB2312" w:cs="宋体"/>
      <w:sz w:val="30"/>
      <w:szCs w:val="24"/>
    </w:rPr>
  </w:style>
  <w:style w:type="paragraph" w:styleId="13">
    <w:name w:val="footer"/>
    <w:basedOn w:val="1"/>
    <w:qFormat/>
    <w:uiPriority w:val="0"/>
    <w:pPr>
      <w:tabs>
        <w:tab w:val="center" w:pos="4153"/>
        <w:tab w:val="right" w:pos="8306"/>
      </w:tabs>
      <w:snapToGrid w:val="0"/>
      <w:jc w:val="left"/>
    </w:pPr>
    <w:rPr>
      <w:sz w:val="18"/>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5">
    <w:name w:val="toc 1"/>
    <w:basedOn w:val="1"/>
    <w:next w:val="1"/>
    <w:qFormat/>
    <w:uiPriority w:val="0"/>
    <w:pPr>
      <w:snapToGrid w:val="0"/>
      <w:spacing w:before="0" w:after="0" w:line="520" w:lineRule="exact"/>
      <w:ind w:firstLine="200" w:firstLineChars="200"/>
      <w:jc w:val="left"/>
    </w:pPr>
    <w:rPr>
      <w:rFonts w:ascii="Times New Roman" w:hAnsi="Times New Roman" w:eastAsia="黑体"/>
      <w:bCs/>
      <w:caps/>
      <w:sz w:val="28"/>
      <w:szCs w:val="20"/>
    </w:rPr>
  </w:style>
  <w:style w:type="paragraph" w:styleId="16">
    <w:name w:val="footnote text"/>
    <w:basedOn w:val="1"/>
    <w:link w:val="38"/>
    <w:unhideWhenUsed/>
    <w:qFormat/>
    <w:uiPriority w:val="99"/>
    <w:pPr>
      <w:snapToGrid w:val="0"/>
      <w:jc w:val="left"/>
    </w:pPr>
    <w:rPr>
      <w:rFonts w:ascii="Times New Roman" w:hAnsi="Times New Roman"/>
      <w:sz w:val="21"/>
      <w:szCs w:val="18"/>
    </w:rPr>
  </w:style>
  <w:style w:type="paragraph" w:styleId="17">
    <w:name w:val="toc 2"/>
    <w:basedOn w:val="1"/>
    <w:next w:val="1"/>
    <w:qFormat/>
    <w:uiPriority w:val="0"/>
    <w:pPr>
      <w:spacing w:before="0" w:after="0" w:line="560" w:lineRule="exact"/>
      <w:ind w:left="420" w:leftChars="200" w:firstLine="880" w:firstLineChars="200"/>
    </w:pPr>
    <w:rPr>
      <w:rFonts w:ascii="Times New Roman" w:hAnsi="Times New Roman" w:eastAsia="楷体"/>
      <w:sz w:val="28"/>
    </w:rPr>
  </w:style>
  <w:style w:type="paragraph" w:styleId="1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19">
    <w:name w:val="Title"/>
    <w:basedOn w:val="1"/>
    <w:next w:val="1"/>
    <w:qFormat/>
    <w:uiPriority w:val="0"/>
    <w:pPr>
      <w:widowControl/>
      <w:spacing w:before="240" w:beforeLines="0" w:after="60" w:afterLines="0" w:line="560" w:lineRule="exact"/>
      <w:jc w:val="left"/>
      <w:outlineLvl w:val="0"/>
    </w:pPr>
    <w:rPr>
      <w:rFonts w:ascii="Arial" w:hAnsi="Arial" w:eastAsia="仿宋_GB2312" w:cs="Arial"/>
      <w:b/>
      <w:bCs/>
      <w:color w:val="000000" w:themeColor="text1"/>
      <w:kern w:val="0"/>
      <w:sz w:val="28"/>
      <w:szCs w:val="32"/>
      <w14:textFill>
        <w14:solidFill>
          <w14:schemeClr w14:val="tx1"/>
        </w14:solidFill>
      </w14:textFill>
    </w:rPr>
  </w:style>
  <w:style w:type="paragraph" w:styleId="20">
    <w:name w:val="Body Text First Indent 2"/>
    <w:basedOn w:val="10"/>
    <w:qFormat/>
    <w:uiPriority w:val="0"/>
    <w:pPr>
      <w:ind w:firstLine="420" w:firstLineChars="200"/>
    </w:pPr>
  </w:style>
  <w:style w:type="table" w:styleId="22">
    <w:name w:val="Table Grid"/>
    <w:basedOn w:val="2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4">
    <w:name w:val="Strong"/>
    <w:basedOn w:val="23"/>
    <w:qFormat/>
    <w:uiPriority w:val="0"/>
    <w:rPr>
      <w:b/>
    </w:rPr>
  </w:style>
  <w:style w:type="character" w:styleId="25">
    <w:name w:val="Hyperlink"/>
    <w:basedOn w:val="23"/>
    <w:qFormat/>
    <w:uiPriority w:val="0"/>
    <w:rPr>
      <w:color w:val="0000FF"/>
      <w:u w:val="single"/>
    </w:rPr>
  </w:style>
  <w:style w:type="character" w:styleId="26">
    <w:name w:val="footnote reference"/>
    <w:basedOn w:val="23"/>
    <w:qFormat/>
    <w:uiPriority w:val="0"/>
    <w:rPr>
      <w:vertAlign w:val="superscript"/>
    </w:rPr>
  </w:style>
  <w:style w:type="character" w:customStyle="1" w:styleId="27">
    <w:name w:val="标题 3 Char"/>
    <w:link w:val="4"/>
    <w:qFormat/>
    <w:uiPriority w:val="0"/>
    <w:rPr>
      <w:rFonts w:ascii="Times New Roman" w:hAnsi="Times New Roman" w:eastAsia="仿宋"/>
      <w:b/>
      <w:szCs w:val="30"/>
    </w:rPr>
  </w:style>
  <w:style w:type="character" w:customStyle="1" w:styleId="28">
    <w:name w:val="标题 2 Char"/>
    <w:link w:val="3"/>
    <w:qFormat/>
    <w:uiPriority w:val="0"/>
    <w:rPr>
      <w:rFonts w:ascii="Times New Roman" w:hAnsi="Times New Roman" w:eastAsia="楷体"/>
    </w:rPr>
  </w:style>
  <w:style w:type="character" w:customStyle="1" w:styleId="29">
    <w:name w:val="正文 Char"/>
    <w:link w:val="1"/>
    <w:qFormat/>
    <w:uiPriority w:val="0"/>
    <w:rPr>
      <w:rFonts w:ascii="Times New Roman" w:hAnsi="Times New Roman" w:eastAsia="仿宋" w:cs="Times New Roman"/>
      <w:color w:val="auto"/>
      <w:kern w:val="0"/>
      <w:sz w:val="32"/>
      <w:szCs w:val="22"/>
      <w:highlight w:val="none"/>
      <w:lang w:val="en-US" w:eastAsia="zh" w:bidi="ar"/>
    </w:rPr>
  </w:style>
  <w:style w:type="paragraph" w:customStyle="1" w:styleId="30">
    <w:name w:val="正文1"/>
    <w:qFormat/>
    <w:uiPriority w:val="0"/>
    <w:pPr>
      <w:spacing w:line="560" w:lineRule="exact"/>
      <w:ind w:firstLine="200" w:firstLineChars="200"/>
      <w:jc w:val="both"/>
    </w:pPr>
    <w:rPr>
      <w:rFonts w:ascii="Times New Roman" w:hAnsi="Times New Roman" w:eastAsia="仿宋_GB2312" w:cstheme="minorBidi"/>
      <w:kern w:val="2"/>
      <w:sz w:val="32"/>
      <w:szCs w:val="32"/>
      <w:lang w:val="en-US" w:eastAsia="zh-CN" w:bidi="ar-SA"/>
    </w:rPr>
  </w:style>
  <w:style w:type="paragraph" w:customStyle="1" w:styleId="31">
    <w:name w:val="正文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2">
    <w:name w:val="List Paragraph1"/>
    <w:qFormat/>
    <w:uiPriority w:val="34"/>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33">
    <w:name w:val="标题 4 Char"/>
    <w:link w:val="5"/>
    <w:qFormat/>
    <w:uiPriority w:val="0"/>
    <w:rPr>
      <w:rFonts w:ascii="Arial" w:hAnsi="Arial" w:eastAsia="黑体"/>
      <w:b/>
      <w:sz w:val="28"/>
    </w:rPr>
  </w:style>
  <w:style w:type="paragraph" w:customStyle="1" w:styleId="34">
    <w:name w:val="p0"/>
    <w:basedOn w:val="1"/>
    <w:qFormat/>
    <w:uiPriority w:val="0"/>
    <w:pPr>
      <w:widowControl/>
    </w:pPr>
    <w:rPr>
      <w:kern w:val="0"/>
      <w:szCs w:val="21"/>
    </w:rPr>
  </w:style>
  <w:style w:type="character" w:customStyle="1" w:styleId="35">
    <w:name w:val="10"/>
    <w:basedOn w:val="23"/>
    <w:qFormat/>
    <w:uiPriority w:val="0"/>
    <w:rPr>
      <w:rFonts w:hint="default" w:ascii="Times New Roman" w:hAnsi="Times New Roman" w:cs="Times New Roman"/>
    </w:rPr>
  </w:style>
  <w:style w:type="character" w:customStyle="1" w:styleId="36">
    <w:name w:val="15"/>
    <w:basedOn w:val="23"/>
    <w:qFormat/>
    <w:uiPriority w:val="0"/>
    <w:rPr>
      <w:rFonts w:hint="default" w:ascii="Times New Roman" w:hAnsi="Times New Roman" w:cs="Times New Roman"/>
      <w:vertAlign w:val="superscript"/>
    </w:rPr>
  </w:style>
  <w:style w:type="character" w:customStyle="1" w:styleId="37">
    <w:name w:val="16"/>
    <w:basedOn w:val="23"/>
    <w:qFormat/>
    <w:uiPriority w:val="0"/>
    <w:rPr>
      <w:rFonts w:hint="default" w:ascii="Times New Roman" w:hAnsi="Times New Roman" w:cs="Times New Roman"/>
      <w:b/>
    </w:rPr>
  </w:style>
  <w:style w:type="character" w:customStyle="1" w:styleId="38">
    <w:name w:val="脚注文本 Char"/>
    <w:link w:val="16"/>
    <w:qFormat/>
    <w:uiPriority w:val="99"/>
    <w:rPr>
      <w:rFonts w:ascii="Times New Roman" w:hAnsi="Times New Roman" w:eastAsia="仿宋_GB2312"/>
      <w:sz w:val="21"/>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16</Pages>
  <Words>7936</Words>
  <Characters>7995</Characters>
  <Lines>1</Lines>
  <Paragraphs>1</Paragraphs>
  <TotalTime>21</TotalTime>
  <ScaleCrop>false</ScaleCrop>
  <LinksUpToDate>false</LinksUpToDate>
  <CharactersWithSpaces>8017</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2025-08-25T08:10:00Z</dcterms:created>
  <dc:creator>陈文章</dc:creator>
  <cp:lastModifiedBy>林心园</cp:lastModifiedBy>
  <cp:lastPrinted>2026-06-18T23:44:00Z</cp:lastPrinted>
  <dcterms:modified xsi:type="dcterms:W3CDTF">2026-07-03T10:09:23Z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6DF179D2AF07479999B2BEE3836BACA5_13</vt:lpwstr>
  </property>
  <property fmtid="{D5CDD505-2E9C-101B-9397-08002B2CF9AE}" pid="4" name="KSOTemplateDocerSaveRecord">
    <vt:lpwstr>eyJoZGlkIjoiZjVkMzcxZjc1MTY4MTBkZmJiODE3NjJkZWRkYTg3OWMiLCJ1c2VySWQiOiI1MjM5OTQ3NzMifQ==</vt:lpwstr>
  </property>
</Properties>
</file>