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240" w:lineRule="auto"/>
        <w:jc w:val="center"/>
        <w:rPr>
          <w:rFonts w:ascii="Times New Roman" w:hAnsi="Times New Roman" w:eastAsia="华文中宋" w:cs="华文中宋"/>
          <w:b/>
          <w:bCs/>
          <w:sz w:val="44"/>
          <w:szCs w:val="44"/>
          <w14:ligatures w14:val="none"/>
        </w:rPr>
      </w:pPr>
    </w:p>
    <w:p>
      <w:pPr>
        <w:spacing w:line="240" w:lineRule="auto"/>
        <w:jc w:val="center"/>
        <w:rPr>
          <w:rFonts w:ascii="Times New Roman" w:hAnsi="Times New Roman" w:eastAsia="华文中宋" w:cs="华文中宋"/>
          <w:b/>
          <w:bCs/>
          <w:sz w:val="44"/>
          <w:szCs w:val="44"/>
          <w14:ligatures w14:val="none"/>
        </w:rPr>
      </w:pPr>
    </w:p>
    <w:p>
      <w:pPr>
        <w:spacing w:line="240" w:lineRule="auto"/>
        <w:jc w:val="center"/>
        <w:rPr>
          <w:rFonts w:ascii="Times New Roman" w:hAnsi="Times New Roman" w:eastAsia="华文中宋" w:cs="Times New Roman"/>
          <w:b/>
          <w:bCs/>
          <w:sz w:val="52"/>
          <w:szCs w:val="52"/>
          <w14:ligatures w14:val="none"/>
        </w:rPr>
      </w:pPr>
      <w:r>
        <w:rPr>
          <w:rFonts w:ascii="Times New Roman" w:hAnsi="Times New Roman" w:eastAsia="华文中宋" w:cs="Times New Roman"/>
          <w:b/>
          <w:bCs/>
          <w:sz w:val="52"/>
          <w:szCs w:val="52"/>
          <w14:ligatures w14:val="none"/>
        </w:rPr>
        <w:t>潮州市医疗保障事业发展</w:t>
      </w:r>
    </w:p>
    <w:p>
      <w:pPr>
        <w:spacing w:line="240" w:lineRule="auto"/>
        <w:jc w:val="center"/>
        <w:rPr>
          <w:rFonts w:ascii="Times New Roman" w:hAnsi="Times New Roman" w:eastAsia="华文中宋" w:cs="Times New Roman"/>
          <w:b/>
          <w:bCs/>
          <w:sz w:val="52"/>
          <w:szCs w:val="52"/>
          <w14:ligatures w14:val="none"/>
        </w:rPr>
      </w:pPr>
      <w:r>
        <w:rPr>
          <w:rFonts w:ascii="华文中宋" w:hAnsi="华文中宋" w:eastAsia="华文中宋" w:cs="Times New Roman"/>
          <w:b/>
          <w:bCs/>
          <w:sz w:val="52"/>
          <w:szCs w:val="52"/>
          <w14:ligatures w14:val="none"/>
        </w:rPr>
        <w:t>“</w:t>
      </w:r>
      <w:r>
        <w:rPr>
          <w:rFonts w:ascii="Times New Roman" w:hAnsi="Times New Roman" w:eastAsia="华文中宋" w:cs="Times New Roman"/>
          <w:b/>
          <w:bCs/>
          <w:sz w:val="52"/>
          <w:szCs w:val="52"/>
          <w14:ligatures w14:val="none"/>
        </w:rPr>
        <w:t>十五五</w:t>
      </w:r>
      <w:r>
        <w:rPr>
          <w:rFonts w:ascii="华文中宋" w:hAnsi="华文中宋" w:eastAsia="华文中宋" w:cs="Times New Roman"/>
          <w:b/>
          <w:bCs/>
          <w:sz w:val="52"/>
          <w:szCs w:val="52"/>
          <w14:ligatures w14:val="none"/>
        </w:rPr>
        <w:t>”</w:t>
      </w:r>
      <w:r>
        <w:rPr>
          <w:rFonts w:ascii="Times New Roman" w:hAnsi="Times New Roman" w:eastAsia="华文中宋" w:cs="Times New Roman"/>
          <w:b/>
          <w:bCs/>
          <w:sz w:val="52"/>
          <w:szCs w:val="52"/>
          <w14:ligatures w14:val="none"/>
        </w:rPr>
        <w:t>规划</w:t>
      </w:r>
    </w:p>
    <w:p>
      <w:pPr>
        <w:spacing w:line="240" w:lineRule="auto"/>
        <w:jc w:val="center"/>
        <w:rPr>
          <w:rFonts w:hint="eastAsia" w:ascii="Times New Roman" w:hAnsi="Times New Roman" w:eastAsia="华文中宋" w:cs="Times New Roman"/>
          <w:b/>
          <w:bCs/>
          <w:sz w:val="52"/>
          <w:szCs w:val="52"/>
          <w:lang w:eastAsia="zh-CN"/>
          <w14:ligatures w14:val="none"/>
        </w:rPr>
      </w:pPr>
      <w:r>
        <w:rPr>
          <w:rFonts w:hint="eastAsia" w:ascii="Times New Roman" w:hAnsi="Times New Roman" w:eastAsia="华文中宋" w:cs="Times New Roman"/>
          <w:b/>
          <w:bCs/>
          <w:sz w:val="52"/>
          <w:szCs w:val="52"/>
          <w:lang w:eastAsia="zh-CN"/>
          <w14:ligatures w14:val="none"/>
        </w:rPr>
        <w:t>（</w:t>
      </w:r>
      <w:r>
        <w:rPr>
          <w:rFonts w:hint="eastAsia" w:ascii="Times New Roman" w:hAnsi="Times New Roman" w:eastAsia="华文中宋" w:cs="Times New Roman"/>
          <w:b/>
          <w:bCs/>
          <w:sz w:val="52"/>
          <w:szCs w:val="52"/>
          <w:lang w:val="en-US" w:eastAsia="zh-CN"/>
          <w14:ligatures w14:val="none"/>
        </w:rPr>
        <w:t>征求意见稿</w:t>
      </w:r>
      <w:bookmarkStart w:id="79" w:name="_GoBack"/>
      <w:bookmarkEnd w:id="79"/>
      <w:r>
        <w:rPr>
          <w:rFonts w:hint="eastAsia" w:ascii="Times New Roman" w:hAnsi="Times New Roman" w:eastAsia="华文中宋" w:cs="Times New Roman"/>
          <w:b/>
          <w:bCs/>
          <w:sz w:val="52"/>
          <w:szCs w:val="52"/>
          <w:lang w:eastAsia="zh-CN"/>
          <w14:ligatures w14:val="none"/>
        </w:rPr>
        <w:t>）</w:t>
      </w:r>
    </w:p>
    <w:p>
      <w:pPr>
        <w:spacing w:line="240" w:lineRule="auto"/>
        <w:jc w:val="center"/>
        <w:rPr>
          <w:rFonts w:ascii="Times New Roman" w:hAnsi="Times New Roman" w:eastAsia="华文中宋" w:cs="Times New Roman"/>
          <w:b/>
          <w:bCs/>
          <w:sz w:val="44"/>
          <w:szCs w:val="44"/>
          <w14:ligatures w14:val="none"/>
        </w:rPr>
      </w:pPr>
    </w:p>
    <w:p>
      <w:pPr>
        <w:spacing w:line="240" w:lineRule="auto"/>
        <w:jc w:val="center"/>
        <w:rPr>
          <w:rFonts w:ascii="Times New Roman" w:hAnsi="Times New Roman" w:eastAsia="华文中宋" w:cs="Times New Roman"/>
          <w:b/>
          <w:bCs/>
          <w:sz w:val="44"/>
          <w:szCs w:val="44"/>
          <w14:ligatures w14:val="none"/>
        </w:rPr>
      </w:pPr>
    </w:p>
    <w:p>
      <w:pPr>
        <w:spacing w:line="240" w:lineRule="auto"/>
        <w:jc w:val="center"/>
        <w:rPr>
          <w:rFonts w:ascii="Times New Roman" w:hAnsi="Times New Roman" w:eastAsia="华文中宋" w:cs="Times New Roman"/>
          <w:b/>
          <w:bCs/>
          <w:sz w:val="44"/>
          <w:szCs w:val="44"/>
          <w14:ligatures w14:val="none"/>
        </w:rPr>
      </w:pPr>
    </w:p>
    <w:p>
      <w:pPr>
        <w:spacing w:line="240" w:lineRule="auto"/>
        <w:jc w:val="center"/>
        <w:rPr>
          <w:rFonts w:ascii="Times New Roman" w:hAnsi="Times New Roman" w:eastAsia="华文中宋" w:cs="Times New Roman"/>
          <w:b/>
          <w:bCs/>
          <w:sz w:val="44"/>
          <w:szCs w:val="44"/>
          <w14:ligatures w14:val="none"/>
        </w:rPr>
      </w:pPr>
    </w:p>
    <w:p>
      <w:pPr>
        <w:spacing w:line="240" w:lineRule="auto"/>
        <w:jc w:val="center"/>
        <w:rPr>
          <w:rFonts w:ascii="Times New Roman" w:hAnsi="Times New Roman" w:eastAsia="华文中宋" w:cs="Times New Roman"/>
          <w:b/>
          <w:bCs/>
          <w:sz w:val="44"/>
          <w:szCs w:val="44"/>
          <w14:ligatures w14:val="none"/>
        </w:rPr>
      </w:pPr>
    </w:p>
    <w:p>
      <w:pPr>
        <w:spacing w:line="240" w:lineRule="auto"/>
        <w:jc w:val="center"/>
        <w:rPr>
          <w:rFonts w:ascii="Times New Roman" w:hAnsi="Times New Roman" w:eastAsia="华文中宋" w:cs="Times New Roman"/>
          <w:b/>
          <w:bCs/>
          <w:sz w:val="44"/>
          <w:szCs w:val="44"/>
          <w14:ligatures w14:val="none"/>
        </w:rPr>
      </w:pPr>
    </w:p>
    <w:p>
      <w:pPr>
        <w:spacing w:line="240" w:lineRule="auto"/>
        <w:jc w:val="center"/>
        <w:rPr>
          <w:rFonts w:ascii="Times New Roman" w:hAnsi="Times New Roman" w:eastAsia="华文中宋" w:cs="Times New Roman"/>
          <w:b/>
          <w:bCs/>
          <w:sz w:val="44"/>
          <w:szCs w:val="44"/>
          <w14:ligatures w14:val="none"/>
        </w:rPr>
      </w:pPr>
    </w:p>
    <w:p>
      <w:pPr>
        <w:spacing w:line="240" w:lineRule="auto"/>
        <w:jc w:val="center"/>
        <w:rPr>
          <w:rFonts w:ascii="Times New Roman" w:hAnsi="Times New Roman" w:eastAsia="华文中宋" w:cs="Times New Roman"/>
          <w:b/>
          <w:bCs/>
          <w:sz w:val="44"/>
          <w:szCs w:val="44"/>
          <w14:ligatures w14:val="none"/>
        </w:rPr>
      </w:pPr>
    </w:p>
    <w:p>
      <w:pPr>
        <w:spacing w:line="240" w:lineRule="auto"/>
        <w:jc w:val="center"/>
        <w:rPr>
          <w:rFonts w:ascii="Times New Roman" w:hAnsi="Times New Roman" w:eastAsia="华文中宋" w:cs="Times New Roman"/>
          <w:b/>
          <w:bCs/>
          <w:sz w:val="44"/>
          <w:szCs w:val="44"/>
          <w14:ligatures w14:val="none"/>
        </w:rPr>
      </w:pPr>
    </w:p>
    <w:p>
      <w:pPr>
        <w:spacing w:line="240" w:lineRule="auto"/>
        <w:jc w:val="center"/>
        <w:rPr>
          <w:rFonts w:ascii="Times New Roman" w:hAnsi="Times New Roman" w:eastAsia="华文中宋" w:cs="Times New Roman"/>
          <w:b/>
          <w:bCs/>
          <w:sz w:val="44"/>
          <w:szCs w:val="44"/>
          <w14:ligatures w14:val="none"/>
        </w:rPr>
      </w:pPr>
    </w:p>
    <w:p>
      <w:pPr>
        <w:spacing w:line="240" w:lineRule="auto"/>
        <w:jc w:val="center"/>
        <w:rPr>
          <w:rFonts w:ascii="Times New Roman" w:hAnsi="Times New Roman" w:eastAsia="华文中宋" w:cs="Times New Roman"/>
          <w:b/>
          <w:bCs/>
          <w:sz w:val="44"/>
          <w:szCs w:val="44"/>
          <w14:ligatures w14:val="none"/>
        </w:rPr>
      </w:pPr>
    </w:p>
    <w:p>
      <w:pPr>
        <w:spacing w:line="240" w:lineRule="auto"/>
        <w:jc w:val="center"/>
        <w:rPr>
          <w:rFonts w:ascii="Times New Roman" w:hAnsi="Times New Roman" w:eastAsia="华文中宋" w:cs="Times New Roman"/>
          <w:b/>
          <w:bCs/>
          <w:sz w:val="44"/>
          <w:szCs w:val="44"/>
          <w14:ligatures w14:val="none"/>
        </w:rPr>
      </w:pPr>
    </w:p>
    <w:p>
      <w:pPr>
        <w:spacing w:line="240" w:lineRule="auto"/>
        <w:jc w:val="center"/>
        <w:rPr>
          <w:rFonts w:ascii="Times New Roman" w:hAnsi="Times New Roman" w:eastAsia="华文中宋" w:cs="Times New Roman"/>
          <w:sz w:val="44"/>
          <w:szCs w:val="44"/>
          <w14:ligatures w14:val="none"/>
        </w:rPr>
      </w:pPr>
      <w:r>
        <w:rPr>
          <w:rFonts w:ascii="Times New Roman" w:hAnsi="Times New Roman" w:eastAsia="华文中宋" w:cs="Times New Roman"/>
          <w:sz w:val="44"/>
          <w:szCs w:val="44"/>
          <w14:ligatures w14:val="none"/>
        </w:rPr>
        <w:t>潮州市医疗保障局</w:t>
      </w:r>
    </w:p>
    <w:p>
      <w:pPr>
        <w:spacing w:line="240" w:lineRule="auto"/>
        <w:jc w:val="center"/>
        <w:rPr>
          <w:rFonts w:ascii="Times New Roman" w:hAnsi="Times New Roman" w:eastAsia="华文中宋" w:cs="Times New Roman"/>
          <w:sz w:val="44"/>
          <w:szCs w:val="44"/>
          <w14:ligatures w14:val="none"/>
        </w:rPr>
      </w:pPr>
      <w:r>
        <w:rPr>
          <w:rFonts w:ascii="Times New Roman" w:hAnsi="Times New Roman" w:eastAsia="华文中宋" w:cs="Times New Roman"/>
          <w:sz w:val="44"/>
          <w:szCs w:val="44"/>
          <w14:ligatures w14:val="none"/>
        </w:rPr>
        <w:t>2026年</w:t>
      </w:r>
      <w:r>
        <w:rPr>
          <w:rFonts w:hint="eastAsia" w:ascii="Times New Roman" w:hAnsi="Times New Roman" w:eastAsia="华文中宋" w:cs="Times New Roman"/>
          <w:sz w:val="44"/>
          <w:szCs w:val="44"/>
          <w:lang w:val="en-US" w:eastAsia="zh-CN"/>
          <w14:ligatures w14:val="none"/>
        </w:rPr>
        <w:t>8</w:t>
      </w:r>
      <w:r>
        <w:rPr>
          <w:rFonts w:ascii="Times New Roman" w:hAnsi="Times New Roman" w:eastAsia="华文中宋" w:cs="Times New Roman"/>
          <w:sz w:val="44"/>
          <w:szCs w:val="44"/>
          <w14:ligatures w14:val="none"/>
        </w:rPr>
        <w:t>月</w:t>
      </w:r>
    </w:p>
    <w:p>
      <w:pPr>
        <w:spacing w:line="240" w:lineRule="auto"/>
        <w:jc w:val="center"/>
        <w:rPr>
          <w:rFonts w:ascii="Times New Roman" w:hAnsi="Times New Roman" w:cs="Times New Roman"/>
          <w:b/>
          <w:bCs/>
          <w:sz w:val="36"/>
          <w:szCs w:val="36"/>
          <w14:ligatures w14:val="none"/>
        </w:rPr>
        <w:sectPr>
          <w:pgSz w:w="11906" w:h="16838"/>
          <w:pgMar w:top="1440" w:right="1800" w:bottom="1440" w:left="1800" w:header="851" w:footer="992" w:gutter="0"/>
          <w:pgNumType w:start="1"/>
          <w:cols w:space="720" w:num="1"/>
          <w:docGrid w:type="lines" w:linePitch="312" w:charSpace="0"/>
        </w:sectPr>
      </w:pPr>
    </w:p>
    <w:p>
      <w:pPr>
        <w:spacing w:line="240" w:lineRule="auto"/>
        <w:jc w:val="center"/>
        <w:rPr>
          <w:rFonts w:ascii="Times New Roman" w:hAnsi="Times New Roman" w:cs="Times New Roman"/>
          <w:b/>
          <w:bCs/>
          <w:sz w:val="36"/>
          <w:szCs w:val="36"/>
          <w14:ligatures w14:val="none"/>
        </w:rPr>
      </w:pPr>
      <w:r>
        <w:rPr>
          <w:rFonts w:ascii="Times New Roman" w:hAnsi="Times New Roman" w:cs="Times New Roman"/>
          <w:b/>
          <w:bCs/>
          <w:sz w:val="36"/>
          <w:szCs w:val="36"/>
          <w14:ligatures w14:val="none"/>
        </w:rPr>
        <w:t>目 录</w:t>
      </w:r>
    </w:p>
    <w:p>
      <w:pPr>
        <w:tabs>
          <w:tab w:val="right" w:leader="dot" w:pos="8306"/>
        </w:tabs>
        <w:spacing w:line="240" w:lineRule="auto"/>
        <w:ind w:left="480" w:leftChars="200"/>
        <w:rPr>
          <w:rFonts w:ascii="Times New Roman" w:hAnsi="Times New Roman" w:eastAsia="仿宋_GB2312" w:cs="Times New Roman"/>
          <w:sz w:val="32"/>
          <w:szCs w:val="32"/>
          <w14:ligatures w14:val="none"/>
        </w:rPr>
      </w:pPr>
      <w:r>
        <w:rPr>
          <w:rFonts w:ascii="Times New Roman" w:hAnsi="Times New Roman" w:eastAsia="仿宋_GB2312" w:cs="Times New Roman"/>
          <w:sz w:val="32"/>
          <w:szCs w:val="32"/>
          <w14:ligatures w14:val="none"/>
        </w:rPr>
        <w:fldChar w:fldCharType="begin"/>
      </w:r>
      <w:r>
        <w:rPr>
          <w:rFonts w:ascii="Times New Roman" w:hAnsi="Times New Roman" w:eastAsia="仿宋_GB2312" w:cs="Times New Roman"/>
          <w:sz w:val="32"/>
          <w:szCs w:val="32"/>
          <w14:ligatures w14:val="none"/>
        </w:rPr>
        <w:instrText xml:space="preserve">TOC \o "1-3" \h \u </w:instrText>
      </w:r>
      <w:r>
        <w:rPr>
          <w:rFonts w:ascii="Times New Roman" w:hAnsi="Times New Roman" w:eastAsia="仿宋_GB2312" w:cs="Times New Roman"/>
          <w:sz w:val="32"/>
          <w:szCs w:val="32"/>
          <w14:ligatures w14:val="none"/>
        </w:rPr>
        <w:fldChar w:fldCharType="separate"/>
      </w:r>
      <w:r>
        <w:fldChar w:fldCharType="begin"/>
      </w:r>
      <w:r>
        <w:instrText xml:space="preserve"> HYPERLINK \l "_Toc630303565" </w:instrText>
      </w:r>
      <w:r>
        <w:fldChar w:fldCharType="separate"/>
      </w:r>
      <w:r>
        <w:rPr>
          <w:rFonts w:ascii="Times New Roman" w:hAnsi="Times New Roman" w:eastAsia="仿宋_GB2312" w:cs="Times New Roman"/>
          <w:sz w:val="32"/>
          <w:szCs w:val="32"/>
          <w14:ligatures w14:val="none"/>
        </w:rPr>
        <w:t>第一章 规划背景</w:t>
      </w:r>
      <w:r>
        <w:rPr>
          <w:rFonts w:ascii="Times New Roman" w:hAnsi="Times New Roman" w:eastAsia="仿宋_GB2312" w:cs="Times New Roman"/>
          <w:sz w:val="32"/>
          <w:szCs w:val="32"/>
          <w14:ligatures w14:val="none"/>
        </w:rPr>
        <w:tab/>
      </w:r>
      <w:r>
        <w:rPr>
          <w:rFonts w:ascii="Times New Roman" w:hAnsi="Times New Roman" w:eastAsia="仿宋_GB2312" w:cs="Times New Roman"/>
          <w:sz w:val="32"/>
          <w:szCs w:val="32"/>
          <w14:ligatures w14:val="none"/>
        </w:rPr>
        <w:fldChar w:fldCharType="begin"/>
      </w:r>
      <w:r>
        <w:rPr>
          <w:rFonts w:ascii="Times New Roman" w:hAnsi="Times New Roman" w:eastAsia="仿宋_GB2312" w:cs="Times New Roman"/>
          <w:sz w:val="32"/>
          <w:szCs w:val="32"/>
          <w14:ligatures w14:val="none"/>
        </w:rPr>
        <w:instrText xml:space="preserve"> PAGEREF _Toc630303565 </w:instrText>
      </w:r>
      <w:r>
        <w:rPr>
          <w:rFonts w:ascii="Times New Roman" w:hAnsi="Times New Roman" w:eastAsia="仿宋_GB2312" w:cs="Times New Roman"/>
          <w:sz w:val="32"/>
          <w:szCs w:val="32"/>
          <w14:ligatures w14:val="none"/>
        </w:rPr>
        <w:fldChar w:fldCharType="separate"/>
      </w:r>
      <w:r>
        <w:rPr>
          <w:rFonts w:ascii="Times New Roman" w:hAnsi="Times New Roman" w:eastAsia="仿宋_GB2312" w:cs="Times New Roman"/>
          <w:sz w:val="32"/>
          <w:szCs w:val="32"/>
          <w14:ligatures w14:val="none"/>
        </w:rPr>
        <w:t>1</w:t>
      </w:r>
      <w:r>
        <w:rPr>
          <w:rFonts w:ascii="Times New Roman" w:hAnsi="Times New Roman" w:eastAsia="仿宋_GB2312" w:cs="Times New Roman"/>
          <w:sz w:val="32"/>
          <w:szCs w:val="32"/>
          <w14:ligatures w14:val="none"/>
        </w:rPr>
        <w:fldChar w:fldCharType="end"/>
      </w:r>
      <w:r>
        <w:rPr>
          <w:rFonts w:ascii="Times New Roman" w:hAnsi="Times New Roman" w:eastAsia="仿宋_GB2312" w:cs="Times New Roman"/>
          <w:sz w:val="32"/>
          <w:szCs w:val="32"/>
          <w14:ligatures w14:val="none"/>
        </w:rPr>
        <w:fldChar w:fldCharType="end"/>
      </w:r>
    </w:p>
    <w:p>
      <w:pPr>
        <w:tabs>
          <w:tab w:val="right" w:leader="dot" w:pos="8306"/>
        </w:tabs>
        <w:spacing w:line="240" w:lineRule="auto"/>
        <w:ind w:left="960" w:leftChars="400"/>
        <w:rPr>
          <w:rFonts w:ascii="Times New Roman" w:hAnsi="Times New Roman" w:eastAsia="仿宋_GB2312" w:cs="Times New Roman"/>
          <w:sz w:val="32"/>
          <w:szCs w:val="32"/>
          <w14:ligatures w14:val="none"/>
        </w:rPr>
      </w:pPr>
      <w:r>
        <w:fldChar w:fldCharType="begin"/>
      </w:r>
      <w:r>
        <w:instrText xml:space="preserve"> HYPERLINK \l "_Toc526778567" </w:instrText>
      </w:r>
      <w:r>
        <w:fldChar w:fldCharType="separate"/>
      </w:r>
      <w:r>
        <w:rPr>
          <w:rFonts w:ascii="Times New Roman" w:hAnsi="Times New Roman" w:eastAsia="仿宋_GB2312" w:cs="Times New Roman"/>
          <w:sz w:val="32"/>
          <w:szCs w:val="32"/>
          <w14:ligatures w14:val="none"/>
        </w:rPr>
        <w:t>一、发展基础</w:t>
      </w:r>
      <w:r>
        <w:rPr>
          <w:rFonts w:ascii="Times New Roman" w:hAnsi="Times New Roman" w:eastAsia="仿宋_GB2312" w:cs="Times New Roman"/>
          <w:sz w:val="32"/>
          <w:szCs w:val="32"/>
          <w14:ligatures w14:val="none"/>
        </w:rPr>
        <w:tab/>
      </w:r>
      <w:r>
        <w:rPr>
          <w:rFonts w:ascii="Times New Roman" w:hAnsi="Times New Roman" w:eastAsia="仿宋_GB2312" w:cs="Times New Roman"/>
          <w:sz w:val="32"/>
          <w:szCs w:val="32"/>
          <w14:ligatures w14:val="none"/>
        </w:rPr>
        <w:fldChar w:fldCharType="begin"/>
      </w:r>
      <w:r>
        <w:rPr>
          <w:rFonts w:ascii="Times New Roman" w:hAnsi="Times New Roman" w:eastAsia="仿宋_GB2312" w:cs="Times New Roman"/>
          <w:sz w:val="32"/>
          <w:szCs w:val="32"/>
          <w14:ligatures w14:val="none"/>
        </w:rPr>
        <w:instrText xml:space="preserve"> PAGEREF _Toc526778567 </w:instrText>
      </w:r>
      <w:r>
        <w:rPr>
          <w:rFonts w:ascii="Times New Roman" w:hAnsi="Times New Roman" w:eastAsia="仿宋_GB2312" w:cs="Times New Roman"/>
          <w:sz w:val="32"/>
          <w:szCs w:val="32"/>
          <w14:ligatures w14:val="none"/>
        </w:rPr>
        <w:fldChar w:fldCharType="separate"/>
      </w:r>
      <w:r>
        <w:rPr>
          <w:rFonts w:ascii="Times New Roman" w:hAnsi="Times New Roman" w:eastAsia="仿宋_GB2312" w:cs="Times New Roman"/>
          <w:sz w:val="32"/>
          <w:szCs w:val="32"/>
          <w14:ligatures w14:val="none"/>
        </w:rPr>
        <w:t>1</w:t>
      </w:r>
      <w:r>
        <w:rPr>
          <w:rFonts w:ascii="Times New Roman" w:hAnsi="Times New Roman" w:eastAsia="仿宋_GB2312" w:cs="Times New Roman"/>
          <w:sz w:val="32"/>
          <w:szCs w:val="32"/>
          <w14:ligatures w14:val="none"/>
        </w:rPr>
        <w:fldChar w:fldCharType="end"/>
      </w:r>
      <w:r>
        <w:rPr>
          <w:rFonts w:ascii="Times New Roman" w:hAnsi="Times New Roman" w:eastAsia="仿宋_GB2312" w:cs="Times New Roman"/>
          <w:sz w:val="32"/>
          <w:szCs w:val="32"/>
          <w14:ligatures w14:val="none"/>
        </w:rPr>
        <w:fldChar w:fldCharType="end"/>
      </w:r>
    </w:p>
    <w:p>
      <w:pPr>
        <w:tabs>
          <w:tab w:val="right" w:leader="dot" w:pos="8306"/>
        </w:tabs>
        <w:spacing w:line="240" w:lineRule="auto"/>
        <w:ind w:left="960" w:leftChars="400"/>
        <w:rPr>
          <w:rFonts w:ascii="Times New Roman" w:hAnsi="Times New Roman" w:eastAsia="仿宋_GB2312" w:cs="Times New Roman"/>
          <w:sz w:val="32"/>
          <w:szCs w:val="32"/>
          <w14:ligatures w14:val="none"/>
        </w:rPr>
      </w:pPr>
      <w:r>
        <w:fldChar w:fldCharType="begin"/>
      </w:r>
      <w:r>
        <w:instrText xml:space="preserve"> HYPERLINK \l "_Toc445022265" </w:instrText>
      </w:r>
      <w:r>
        <w:fldChar w:fldCharType="separate"/>
      </w:r>
      <w:r>
        <w:rPr>
          <w:rFonts w:ascii="Times New Roman" w:hAnsi="Times New Roman" w:eastAsia="仿宋_GB2312" w:cs="Times New Roman"/>
          <w:sz w:val="32"/>
          <w:szCs w:val="32"/>
          <w14:ligatures w14:val="none"/>
        </w:rPr>
        <w:t>二、面临形势</w:t>
      </w:r>
      <w:r>
        <w:rPr>
          <w:rFonts w:ascii="Times New Roman" w:hAnsi="Times New Roman" w:eastAsia="仿宋_GB2312" w:cs="Times New Roman"/>
          <w:sz w:val="32"/>
          <w:szCs w:val="32"/>
          <w14:ligatures w14:val="none"/>
        </w:rPr>
        <w:tab/>
      </w:r>
      <w:r>
        <w:rPr>
          <w:rFonts w:ascii="Times New Roman" w:hAnsi="Times New Roman" w:eastAsia="仿宋_GB2312" w:cs="Times New Roman"/>
          <w:sz w:val="32"/>
          <w:szCs w:val="32"/>
          <w14:ligatures w14:val="none"/>
        </w:rPr>
        <w:fldChar w:fldCharType="begin"/>
      </w:r>
      <w:r>
        <w:rPr>
          <w:rFonts w:ascii="Times New Roman" w:hAnsi="Times New Roman" w:eastAsia="仿宋_GB2312" w:cs="Times New Roman"/>
          <w:sz w:val="32"/>
          <w:szCs w:val="32"/>
          <w14:ligatures w14:val="none"/>
        </w:rPr>
        <w:instrText xml:space="preserve"> PAGEREF _Toc445022265 </w:instrText>
      </w:r>
      <w:r>
        <w:rPr>
          <w:rFonts w:ascii="Times New Roman" w:hAnsi="Times New Roman" w:eastAsia="仿宋_GB2312" w:cs="Times New Roman"/>
          <w:sz w:val="32"/>
          <w:szCs w:val="32"/>
          <w14:ligatures w14:val="none"/>
        </w:rPr>
        <w:fldChar w:fldCharType="separate"/>
      </w:r>
      <w:r>
        <w:rPr>
          <w:rFonts w:ascii="Times New Roman" w:hAnsi="Times New Roman" w:eastAsia="仿宋_GB2312" w:cs="Times New Roman"/>
          <w:sz w:val="32"/>
          <w:szCs w:val="32"/>
          <w14:ligatures w14:val="none"/>
        </w:rPr>
        <w:t>3</w:t>
      </w:r>
      <w:r>
        <w:rPr>
          <w:rFonts w:ascii="Times New Roman" w:hAnsi="Times New Roman" w:eastAsia="仿宋_GB2312" w:cs="Times New Roman"/>
          <w:sz w:val="32"/>
          <w:szCs w:val="32"/>
          <w14:ligatures w14:val="none"/>
        </w:rPr>
        <w:fldChar w:fldCharType="end"/>
      </w:r>
      <w:r>
        <w:rPr>
          <w:rFonts w:ascii="Times New Roman" w:hAnsi="Times New Roman" w:eastAsia="仿宋_GB2312" w:cs="Times New Roman"/>
          <w:sz w:val="32"/>
          <w:szCs w:val="32"/>
          <w14:ligatures w14:val="none"/>
        </w:rPr>
        <w:fldChar w:fldCharType="end"/>
      </w:r>
    </w:p>
    <w:p>
      <w:pPr>
        <w:tabs>
          <w:tab w:val="right" w:leader="dot" w:pos="8306"/>
        </w:tabs>
        <w:spacing w:line="240" w:lineRule="auto"/>
        <w:ind w:left="480" w:leftChars="200"/>
        <w:rPr>
          <w:rFonts w:ascii="Times New Roman" w:hAnsi="Times New Roman" w:eastAsia="仿宋_GB2312" w:cs="Times New Roman"/>
          <w:sz w:val="32"/>
          <w:szCs w:val="32"/>
          <w14:ligatures w14:val="none"/>
        </w:rPr>
      </w:pPr>
      <w:r>
        <w:fldChar w:fldCharType="begin"/>
      </w:r>
      <w:r>
        <w:instrText xml:space="preserve"> HYPERLINK \l "_Toc1231748026" </w:instrText>
      </w:r>
      <w:r>
        <w:fldChar w:fldCharType="separate"/>
      </w:r>
      <w:r>
        <w:rPr>
          <w:rFonts w:ascii="Times New Roman" w:hAnsi="Times New Roman" w:eastAsia="仿宋_GB2312" w:cs="Times New Roman"/>
          <w:sz w:val="32"/>
          <w:szCs w:val="32"/>
          <w14:ligatures w14:val="none"/>
        </w:rPr>
        <w:t>第二章 总体要求</w:t>
      </w:r>
      <w:r>
        <w:rPr>
          <w:rFonts w:ascii="Times New Roman" w:hAnsi="Times New Roman" w:eastAsia="仿宋_GB2312" w:cs="Times New Roman"/>
          <w:sz w:val="32"/>
          <w:szCs w:val="32"/>
          <w14:ligatures w14:val="none"/>
        </w:rPr>
        <w:tab/>
      </w:r>
      <w:r>
        <w:rPr>
          <w:rFonts w:ascii="Times New Roman" w:hAnsi="Times New Roman" w:eastAsia="仿宋_GB2312" w:cs="Times New Roman"/>
          <w:sz w:val="32"/>
          <w:szCs w:val="32"/>
          <w14:ligatures w14:val="none"/>
        </w:rPr>
        <w:fldChar w:fldCharType="begin"/>
      </w:r>
      <w:r>
        <w:rPr>
          <w:rFonts w:ascii="Times New Roman" w:hAnsi="Times New Roman" w:eastAsia="仿宋_GB2312" w:cs="Times New Roman"/>
          <w:sz w:val="32"/>
          <w:szCs w:val="32"/>
          <w14:ligatures w14:val="none"/>
        </w:rPr>
        <w:instrText xml:space="preserve"> PAGEREF _Toc1231748026 </w:instrText>
      </w:r>
      <w:r>
        <w:rPr>
          <w:rFonts w:ascii="Times New Roman" w:hAnsi="Times New Roman" w:eastAsia="仿宋_GB2312" w:cs="Times New Roman"/>
          <w:sz w:val="32"/>
          <w:szCs w:val="32"/>
          <w14:ligatures w14:val="none"/>
        </w:rPr>
        <w:fldChar w:fldCharType="separate"/>
      </w:r>
      <w:r>
        <w:rPr>
          <w:rFonts w:ascii="Times New Roman" w:hAnsi="Times New Roman" w:eastAsia="仿宋_GB2312" w:cs="Times New Roman"/>
          <w:sz w:val="32"/>
          <w:szCs w:val="32"/>
          <w14:ligatures w14:val="none"/>
        </w:rPr>
        <w:t>5</w:t>
      </w:r>
      <w:r>
        <w:rPr>
          <w:rFonts w:ascii="Times New Roman" w:hAnsi="Times New Roman" w:eastAsia="仿宋_GB2312" w:cs="Times New Roman"/>
          <w:sz w:val="32"/>
          <w:szCs w:val="32"/>
          <w14:ligatures w14:val="none"/>
        </w:rPr>
        <w:fldChar w:fldCharType="end"/>
      </w:r>
      <w:r>
        <w:rPr>
          <w:rFonts w:ascii="Times New Roman" w:hAnsi="Times New Roman" w:eastAsia="仿宋_GB2312" w:cs="Times New Roman"/>
          <w:sz w:val="32"/>
          <w:szCs w:val="32"/>
          <w14:ligatures w14:val="none"/>
        </w:rPr>
        <w:fldChar w:fldCharType="end"/>
      </w:r>
    </w:p>
    <w:p>
      <w:pPr>
        <w:tabs>
          <w:tab w:val="right" w:leader="dot" w:pos="8306"/>
        </w:tabs>
        <w:spacing w:line="240" w:lineRule="auto"/>
        <w:ind w:left="960" w:leftChars="400"/>
        <w:rPr>
          <w:rFonts w:ascii="Times New Roman" w:hAnsi="Times New Roman" w:eastAsia="仿宋_GB2312" w:cs="Times New Roman"/>
          <w:sz w:val="32"/>
          <w:szCs w:val="32"/>
          <w14:ligatures w14:val="none"/>
        </w:rPr>
      </w:pPr>
      <w:r>
        <w:fldChar w:fldCharType="begin"/>
      </w:r>
      <w:r>
        <w:instrText xml:space="preserve"> HYPERLINK \l "_Toc1114592742" </w:instrText>
      </w:r>
      <w:r>
        <w:fldChar w:fldCharType="separate"/>
      </w:r>
      <w:r>
        <w:rPr>
          <w:rFonts w:ascii="Times New Roman" w:hAnsi="Times New Roman" w:eastAsia="仿宋_GB2312" w:cs="Times New Roman"/>
          <w:sz w:val="32"/>
          <w:szCs w:val="32"/>
          <w14:ligatures w14:val="none"/>
        </w:rPr>
        <w:t>一、指导思想</w:t>
      </w:r>
      <w:r>
        <w:rPr>
          <w:rFonts w:ascii="Times New Roman" w:hAnsi="Times New Roman" w:eastAsia="仿宋_GB2312" w:cs="Times New Roman"/>
          <w:sz w:val="32"/>
          <w:szCs w:val="32"/>
          <w14:ligatures w14:val="none"/>
        </w:rPr>
        <w:tab/>
      </w:r>
      <w:r>
        <w:rPr>
          <w:rFonts w:ascii="Times New Roman" w:hAnsi="Times New Roman" w:eastAsia="仿宋_GB2312" w:cs="Times New Roman"/>
          <w:sz w:val="32"/>
          <w:szCs w:val="32"/>
          <w14:ligatures w14:val="none"/>
        </w:rPr>
        <w:fldChar w:fldCharType="begin"/>
      </w:r>
      <w:r>
        <w:rPr>
          <w:rFonts w:ascii="Times New Roman" w:hAnsi="Times New Roman" w:eastAsia="仿宋_GB2312" w:cs="Times New Roman"/>
          <w:sz w:val="32"/>
          <w:szCs w:val="32"/>
          <w14:ligatures w14:val="none"/>
        </w:rPr>
        <w:instrText xml:space="preserve"> PAGEREF _Toc1114592742 </w:instrText>
      </w:r>
      <w:r>
        <w:rPr>
          <w:rFonts w:ascii="Times New Roman" w:hAnsi="Times New Roman" w:eastAsia="仿宋_GB2312" w:cs="Times New Roman"/>
          <w:sz w:val="32"/>
          <w:szCs w:val="32"/>
          <w14:ligatures w14:val="none"/>
        </w:rPr>
        <w:fldChar w:fldCharType="separate"/>
      </w:r>
      <w:r>
        <w:rPr>
          <w:rFonts w:ascii="Times New Roman" w:hAnsi="Times New Roman" w:eastAsia="仿宋_GB2312" w:cs="Times New Roman"/>
          <w:sz w:val="32"/>
          <w:szCs w:val="32"/>
          <w14:ligatures w14:val="none"/>
        </w:rPr>
        <w:t>5</w:t>
      </w:r>
      <w:r>
        <w:rPr>
          <w:rFonts w:ascii="Times New Roman" w:hAnsi="Times New Roman" w:eastAsia="仿宋_GB2312" w:cs="Times New Roman"/>
          <w:sz w:val="32"/>
          <w:szCs w:val="32"/>
          <w14:ligatures w14:val="none"/>
        </w:rPr>
        <w:fldChar w:fldCharType="end"/>
      </w:r>
      <w:r>
        <w:rPr>
          <w:rFonts w:ascii="Times New Roman" w:hAnsi="Times New Roman" w:eastAsia="仿宋_GB2312" w:cs="Times New Roman"/>
          <w:sz w:val="32"/>
          <w:szCs w:val="32"/>
          <w14:ligatures w14:val="none"/>
        </w:rPr>
        <w:fldChar w:fldCharType="end"/>
      </w:r>
    </w:p>
    <w:p>
      <w:pPr>
        <w:tabs>
          <w:tab w:val="right" w:leader="dot" w:pos="8306"/>
        </w:tabs>
        <w:spacing w:line="240" w:lineRule="auto"/>
        <w:ind w:left="960" w:leftChars="400"/>
        <w:rPr>
          <w:rFonts w:ascii="Times New Roman" w:hAnsi="Times New Roman" w:eastAsia="仿宋_GB2312" w:cs="Times New Roman"/>
          <w:sz w:val="32"/>
          <w:szCs w:val="32"/>
          <w14:ligatures w14:val="none"/>
        </w:rPr>
      </w:pPr>
      <w:r>
        <w:fldChar w:fldCharType="begin"/>
      </w:r>
      <w:r>
        <w:instrText xml:space="preserve"> HYPERLINK \l "_Toc1668987413" </w:instrText>
      </w:r>
      <w:r>
        <w:fldChar w:fldCharType="separate"/>
      </w:r>
      <w:r>
        <w:rPr>
          <w:rFonts w:ascii="Times New Roman" w:hAnsi="Times New Roman" w:eastAsia="仿宋_GB2312" w:cs="Times New Roman"/>
          <w:sz w:val="32"/>
          <w:szCs w:val="32"/>
          <w14:ligatures w14:val="none"/>
        </w:rPr>
        <w:t>二、基本原则</w:t>
      </w:r>
      <w:r>
        <w:rPr>
          <w:rFonts w:ascii="Times New Roman" w:hAnsi="Times New Roman" w:eastAsia="仿宋_GB2312" w:cs="Times New Roman"/>
          <w:sz w:val="32"/>
          <w:szCs w:val="32"/>
          <w14:ligatures w14:val="none"/>
        </w:rPr>
        <w:tab/>
      </w:r>
      <w:r>
        <w:rPr>
          <w:rFonts w:ascii="Times New Roman" w:hAnsi="Times New Roman" w:eastAsia="仿宋_GB2312" w:cs="Times New Roman"/>
          <w:sz w:val="32"/>
          <w:szCs w:val="32"/>
          <w14:ligatures w14:val="none"/>
        </w:rPr>
        <w:fldChar w:fldCharType="begin"/>
      </w:r>
      <w:r>
        <w:rPr>
          <w:rFonts w:ascii="Times New Roman" w:hAnsi="Times New Roman" w:eastAsia="仿宋_GB2312" w:cs="Times New Roman"/>
          <w:sz w:val="32"/>
          <w:szCs w:val="32"/>
          <w14:ligatures w14:val="none"/>
        </w:rPr>
        <w:instrText xml:space="preserve"> PAGEREF _Toc1668987413 </w:instrText>
      </w:r>
      <w:r>
        <w:rPr>
          <w:rFonts w:ascii="Times New Roman" w:hAnsi="Times New Roman" w:eastAsia="仿宋_GB2312" w:cs="Times New Roman"/>
          <w:sz w:val="32"/>
          <w:szCs w:val="32"/>
          <w14:ligatures w14:val="none"/>
        </w:rPr>
        <w:fldChar w:fldCharType="separate"/>
      </w:r>
      <w:r>
        <w:rPr>
          <w:rFonts w:ascii="Times New Roman" w:hAnsi="Times New Roman" w:eastAsia="仿宋_GB2312" w:cs="Times New Roman"/>
          <w:sz w:val="32"/>
          <w:szCs w:val="32"/>
          <w14:ligatures w14:val="none"/>
        </w:rPr>
        <w:t>6</w:t>
      </w:r>
      <w:r>
        <w:rPr>
          <w:rFonts w:ascii="Times New Roman" w:hAnsi="Times New Roman" w:eastAsia="仿宋_GB2312" w:cs="Times New Roman"/>
          <w:sz w:val="32"/>
          <w:szCs w:val="32"/>
          <w14:ligatures w14:val="none"/>
        </w:rPr>
        <w:fldChar w:fldCharType="end"/>
      </w:r>
      <w:r>
        <w:rPr>
          <w:rFonts w:ascii="Times New Roman" w:hAnsi="Times New Roman" w:eastAsia="仿宋_GB2312" w:cs="Times New Roman"/>
          <w:sz w:val="32"/>
          <w:szCs w:val="32"/>
          <w14:ligatures w14:val="none"/>
        </w:rPr>
        <w:fldChar w:fldCharType="end"/>
      </w:r>
    </w:p>
    <w:p>
      <w:pPr>
        <w:tabs>
          <w:tab w:val="right" w:leader="dot" w:pos="8306"/>
        </w:tabs>
        <w:spacing w:line="240" w:lineRule="auto"/>
        <w:ind w:left="960" w:leftChars="400"/>
        <w:rPr>
          <w:rFonts w:ascii="Times New Roman" w:hAnsi="Times New Roman" w:eastAsia="仿宋_GB2312" w:cs="Times New Roman"/>
          <w:sz w:val="32"/>
          <w:szCs w:val="32"/>
          <w14:ligatures w14:val="none"/>
        </w:rPr>
      </w:pPr>
      <w:r>
        <w:fldChar w:fldCharType="begin"/>
      </w:r>
      <w:r>
        <w:instrText xml:space="preserve"> HYPERLINK \l "_Toc793296825" </w:instrText>
      </w:r>
      <w:r>
        <w:fldChar w:fldCharType="separate"/>
      </w:r>
      <w:r>
        <w:rPr>
          <w:rFonts w:ascii="Times New Roman" w:hAnsi="Times New Roman" w:eastAsia="仿宋_GB2312" w:cs="Times New Roman"/>
          <w:sz w:val="32"/>
          <w:szCs w:val="32"/>
          <w14:ligatures w14:val="none"/>
        </w:rPr>
        <w:t>三、发展目标</w:t>
      </w:r>
      <w:r>
        <w:rPr>
          <w:rFonts w:ascii="Times New Roman" w:hAnsi="Times New Roman" w:eastAsia="仿宋_GB2312" w:cs="Times New Roman"/>
          <w:sz w:val="32"/>
          <w:szCs w:val="32"/>
          <w14:ligatures w14:val="none"/>
        </w:rPr>
        <w:tab/>
      </w:r>
      <w:r>
        <w:rPr>
          <w:rFonts w:ascii="Times New Roman" w:hAnsi="Times New Roman" w:eastAsia="仿宋_GB2312" w:cs="Times New Roman"/>
          <w:sz w:val="32"/>
          <w:szCs w:val="32"/>
          <w14:ligatures w14:val="none"/>
        </w:rPr>
        <w:fldChar w:fldCharType="begin"/>
      </w:r>
      <w:r>
        <w:rPr>
          <w:rFonts w:ascii="Times New Roman" w:hAnsi="Times New Roman" w:eastAsia="仿宋_GB2312" w:cs="Times New Roman"/>
          <w:sz w:val="32"/>
          <w:szCs w:val="32"/>
          <w14:ligatures w14:val="none"/>
        </w:rPr>
        <w:instrText xml:space="preserve"> PAGEREF _Toc793296825 </w:instrText>
      </w:r>
      <w:r>
        <w:rPr>
          <w:rFonts w:ascii="Times New Roman" w:hAnsi="Times New Roman" w:eastAsia="仿宋_GB2312" w:cs="Times New Roman"/>
          <w:sz w:val="32"/>
          <w:szCs w:val="32"/>
          <w14:ligatures w14:val="none"/>
        </w:rPr>
        <w:fldChar w:fldCharType="separate"/>
      </w:r>
      <w:r>
        <w:rPr>
          <w:rFonts w:ascii="Times New Roman" w:hAnsi="Times New Roman" w:eastAsia="仿宋_GB2312" w:cs="Times New Roman"/>
          <w:sz w:val="32"/>
          <w:szCs w:val="32"/>
          <w14:ligatures w14:val="none"/>
        </w:rPr>
        <w:t>8</w:t>
      </w:r>
      <w:r>
        <w:rPr>
          <w:rFonts w:ascii="Times New Roman" w:hAnsi="Times New Roman" w:eastAsia="仿宋_GB2312" w:cs="Times New Roman"/>
          <w:sz w:val="32"/>
          <w:szCs w:val="32"/>
          <w14:ligatures w14:val="none"/>
        </w:rPr>
        <w:fldChar w:fldCharType="end"/>
      </w:r>
      <w:r>
        <w:rPr>
          <w:rFonts w:ascii="Times New Roman" w:hAnsi="Times New Roman" w:eastAsia="仿宋_GB2312" w:cs="Times New Roman"/>
          <w:sz w:val="32"/>
          <w:szCs w:val="32"/>
          <w14:ligatures w14:val="none"/>
        </w:rPr>
        <w:fldChar w:fldCharType="end"/>
      </w:r>
    </w:p>
    <w:p>
      <w:pPr>
        <w:tabs>
          <w:tab w:val="right" w:leader="dot" w:pos="8306"/>
        </w:tabs>
        <w:spacing w:line="240" w:lineRule="auto"/>
        <w:ind w:left="480" w:leftChars="200"/>
        <w:rPr>
          <w:rFonts w:ascii="Times New Roman" w:hAnsi="Times New Roman" w:eastAsia="仿宋_GB2312" w:cs="Times New Roman"/>
          <w:sz w:val="32"/>
          <w:szCs w:val="32"/>
          <w14:ligatures w14:val="none"/>
        </w:rPr>
      </w:pPr>
      <w:r>
        <w:fldChar w:fldCharType="begin"/>
      </w:r>
      <w:r>
        <w:instrText xml:space="preserve"> HYPERLINK \l "_Toc397753428" </w:instrText>
      </w:r>
      <w:r>
        <w:fldChar w:fldCharType="separate"/>
      </w:r>
      <w:r>
        <w:rPr>
          <w:rFonts w:ascii="Times New Roman" w:hAnsi="Times New Roman" w:eastAsia="仿宋_GB2312" w:cs="Times New Roman"/>
          <w:sz w:val="32"/>
          <w:szCs w:val="32"/>
          <w14:ligatures w14:val="none"/>
        </w:rPr>
        <w:t>第三章 主要任务</w:t>
      </w:r>
      <w:r>
        <w:rPr>
          <w:rFonts w:ascii="Times New Roman" w:hAnsi="Times New Roman" w:eastAsia="仿宋_GB2312" w:cs="Times New Roman"/>
          <w:sz w:val="32"/>
          <w:szCs w:val="32"/>
          <w14:ligatures w14:val="none"/>
        </w:rPr>
        <w:tab/>
      </w:r>
      <w:r>
        <w:rPr>
          <w:rFonts w:ascii="Times New Roman" w:hAnsi="Times New Roman" w:eastAsia="仿宋_GB2312" w:cs="Times New Roman"/>
          <w:sz w:val="32"/>
          <w:szCs w:val="32"/>
          <w14:ligatures w14:val="none"/>
        </w:rPr>
        <w:fldChar w:fldCharType="begin"/>
      </w:r>
      <w:r>
        <w:rPr>
          <w:rFonts w:ascii="Times New Roman" w:hAnsi="Times New Roman" w:eastAsia="仿宋_GB2312" w:cs="Times New Roman"/>
          <w:sz w:val="32"/>
          <w:szCs w:val="32"/>
          <w14:ligatures w14:val="none"/>
        </w:rPr>
        <w:instrText xml:space="preserve"> PAGEREF _Toc397753428 </w:instrText>
      </w:r>
      <w:r>
        <w:rPr>
          <w:rFonts w:ascii="Times New Roman" w:hAnsi="Times New Roman" w:eastAsia="仿宋_GB2312" w:cs="Times New Roman"/>
          <w:sz w:val="32"/>
          <w:szCs w:val="32"/>
          <w14:ligatures w14:val="none"/>
        </w:rPr>
        <w:fldChar w:fldCharType="separate"/>
      </w:r>
      <w:r>
        <w:rPr>
          <w:rFonts w:ascii="Times New Roman" w:hAnsi="Times New Roman" w:eastAsia="仿宋_GB2312" w:cs="Times New Roman"/>
          <w:sz w:val="32"/>
          <w:szCs w:val="32"/>
          <w14:ligatures w14:val="none"/>
        </w:rPr>
        <w:t>10</w:t>
      </w:r>
      <w:r>
        <w:rPr>
          <w:rFonts w:ascii="Times New Roman" w:hAnsi="Times New Roman" w:eastAsia="仿宋_GB2312" w:cs="Times New Roman"/>
          <w:sz w:val="32"/>
          <w:szCs w:val="32"/>
          <w14:ligatures w14:val="none"/>
        </w:rPr>
        <w:fldChar w:fldCharType="end"/>
      </w:r>
      <w:r>
        <w:rPr>
          <w:rFonts w:ascii="Times New Roman" w:hAnsi="Times New Roman" w:eastAsia="仿宋_GB2312" w:cs="Times New Roman"/>
          <w:sz w:val="32"/>
          <w:szCs w:val="32"/>
          <w14:ligatures w14:val="none"/>
        </w:rPr>
        <w:fldChar w:fldCharType="end"/>
      </w:r>
    </w:p>
    <w:p>
      <w:pPr>
        <w:tabs>
          <w:tab w:val="right" w:leader="dot" w:pos="8306"/>
        </w:tabs>
        <w:spacing w:line="240" w:lineRule="auto"/>
        <w:ind w:left="960" w:leftChars="400"/>
        <w:rPr>
          <w:rFonts w:ascii="Times New Roman" w:hAnsi="Times New Roman" w:eastAsia="仿宋_GB2312" w:cs="Times New Roman"/>
          <w:sz w:val="32"/>
          <w:szCs w:val="32"/>
          <w14:ligatures w14:val="none"/>
        </w:rPr>
      </w:pPr>
      <w:r>
        <w:fldChar w:fldCharType="begin"/>
      </w:r>
      <w:r>
        <w:instrText xml:space="preserve"> HYPERLINK \l "_Toc1974475082" </w:instrText>
      </w:r>
      <w:r>
        <w:fldChar w:fldCharType="separate"/>
      </w:r>
      <w:r>
        <w:rPr>
          <w:rFonts w:ascii="Times New Roman" w:hAnsi="Times New Roman" w:eastAsia="仿宋_GB2312" w:cs="Times New Roman"/>
          <w:sz w:val="32"/>
          <w:szCs w:val="32"/>
          <w14:ligatures w14:val="none"/>
        </w:rPr>
        <w:t>一、健全公平可持续的多层次医疗保障体系</w:t>
      </w:r>
      <w:r>
        <w:rPr>
          <w:rFonts w:ascii="Times New Roman" w:hAnsi="Times New Roman" w:eastAsia="仿宋_GB2312" w:cs="Times New Roman"/>
          <w:sz w:val="32"/>
          <w:szCs w:val="32"/>
          <w14:ligatures w14:val="none"/>
        </w:rPr>
        <w:tab/>
      </w:r>
      <w:r>
        <w:rPr>
          <w:rFonts w:ascii="Times New Roman" w:hAnsi="Times New Roman" w:eastAsia="仿宋_GB2312" w:cs="Times New Roman"/>
          <w:sz w:val="32"/>
          <w:szCs w:val="32"/>
          <w14:ligatures w14:val="none"/>
        </w:rPr>
        <w:fldChar w:fldCharType="begin"/>
      </w:r>
      <w:r>
        <w:rPr>
          <w:rFonts w:ascii="Times New Roman" w:hAnsi="Times New Roman" w:eastAsia="仿宋_GB2312" w:cs="Times New Roman"/>
          <w:sz w:val="32"/>
          <w:szCs w:val="32"/>
          <w14:ligatures w14:val="none"/>
        </w:rPr>
        <w:instrText xml:space="preserve"> PAGEREF _Toc1974475082 </w:instrText>
      </w:r>
      <w:r>
        <w:rPr>
          <w:rFonts w:ascii="Times New Roman" w:hAnsi="Times New Roman" w:eastAsia="仿宋_GB2312" w:cs="Times New Roman"/>
          <w:sz w:val="32"/>
          <w:szCs w:val="32"/>
          <w14:ligatures w14:val="none"/>
        </w:rPr>
        <w:fldChar w:fldCharType="separate"/>
      </w:r>
      <w:r>
        <w:rPr>
          <w:rFonts w:ascii="Times New Roman" w:hAnsi="Times New Roman" w:eastAsia="仿宋_GB2312" w:cs="Times New Roman"/>
          <w:sz w:val="32"/>
          <w:szCs w:val="32"/>
          <w14:ligatures w14:val="none"/>
        </w:rPr>
        <w:t>10</w:t>
      </w:r>
      <w:r>
        <w:rPr>
          <w:rFonts w:ascii="Times New Roman" w:hAnsi="Times New Roman" w:eastAsia="仿宋_GB2312" w:cs="Times New Roman"/>
          <w:sz w:val="32"/>
          <w:szCs w:val="32"/>
          <w14:ligatures w14:val="none"/>
        </w:rPr>
        <w:fldChar w:fldCharType="end"/>
      </w:r>
      <w:r>
        <w:rPr>
          <w:rFonts w:ascii="Times New Roman" w:hAnsi="Times New Roman" w:eastAsia="仿宋_GB2312" w:cs="Times New Roman"/>
          <w:sz w:val="32"/>
          <w:szCs w:val="32"/>
          <w14:ligatures w14:val="none"/>
        </w:rPr>
        <w:fldChar w:fldCharType="end"/>
      </w:r>
    </w:p>
    <w:p>
      <w:pPr>
        <w:tabs>
          <w:tab w:val="right" w:leader="dot" w:pos="8306"/>
        </w:tabs>
        <w:spacing w:line="240" w:lineRule="auto"/>
        <w:ind w:left="960" w:leftChars="400"/>
        <w:rPr>
          <w:rFonts w:ascii="Times New Roman" w:hAnsi="Times New Roman" w:eastAsia="仿宋_GB2312" w:cs="Times New Roman"/>
          <w:sz w:val="32"/>
          <w:szCs w:val="32"/>
          <w14:ligatures w14:val="none"/>
        </w:rPr>
      </w:pPr>
      <w:r>
        <w:fldChar w:fldCharType="begin"/>
      </w:r>
      <w:r>
        <w:instrText xml:space="preserve"> HYPERLINK \l "_Toc373308589" </w:instrText>
      </w:r>
      <w:r>
        <w:fldChar w:fldCharType="separate"/>
      </w:r>
      <w:r>
        <w:rPr>
          <w:rFonts w:ascii="Times New Roman" w:hAnsi="Times New Roman" w:eastAsia="仿宋_GB2312" w:cs="Times New Roman"/>
          <w:sz w:val="32"/>
          <w:szCs w:val="32"/>
          <w14:ligatures w14:val="none"/>
        </w:rPr>
        <w:t>二、健全稳健持续的筹资运行机制</w:t>
      </w:r>
      <w:r>
        <w:rPr>
          <w:rFonts w:ascii="Times New Roman" w:hAnsi="Times New Roman" w:eastAsia="仿宋_GB2312" w:cs="Times New Roman"/>
          <w:sz w:val="32"/>
          <w:szCs w:val="32"/>
          <w14:ligatures w14:val="none"/>
        </w:rPr>
        <w:tab/>
      </w:r>
      <w:r>
        <w:rPr>
          <w:rFonts w:ascii="Times New Roman" w:hAnsi="Times New Roman" w:eastAsia="仿宋_GB2312" w:cs="Times New Roman"/>
          <w:sz w:val="32"/>
          <w:szCs w:val="32"/>
          <w14:ligatures w14:val="none"/>
        </w:rPr>
        <w:fldChar w:fldCharType="begin"/>
      </w:r>
      <w:r>
        <w:rPr>
          <w:rFonts w:ascii="Times New Roman" w:hAnsi="Times New Roman" w:eastAsia="仿宋_GB2312" w:cs="Times New Roman"/>
          <w:sz w:val="32"/>
          <w:szCs w:val="32"/>
          <w14:ligatures w14:val="none"/>
        </w:rPr>
        <w:instrText xml:space="preserve"> PAGEREF _Toc373308589 </w:instrText>
      </w:r>
      <w:r>
        <w:rPr>
          <w:rFonts w:ascii="Times New Roman" w:hAnsi="Times New Roman" w:eastAsia="仿宋_GB2312" w:cs="Times New Roman"/>
          <w:sz w:val="32"/>
          <w:szCs w:val="32"/>
          <w14:ligatures w14:val="none"/>
        </w:rPr>
        <w:fldChar w:fldCharType="separate"/>
      </w:r>
      <w:r>
        <w:rPr>
          <w:rFonts w:ascii="Times New Roman" w:hAnsi="Times New Roman" w:eastAsia="仿宋_GB2312" w:cs="Times New Roman"/>
          <w:sz w:val="32"/>
          <w:szCs w:val="32"/>
          <w14:ligatures w14:val="none"/>
        </w:rPr>
        <w:t>11</w:t>
      </w:r>
      <w:r>
        <w:rPr>
          <w:rFonts w:ascii="Times New Roman" w:hAnsi="Times New Roman" w:eastAsia="仿宋_GB2312" w:cs="Times New Roman"/>
          <w:sz w:val="32"/>
          <w:szCs w:val="32"/>
          <w14:ligatures w14:val="none"/>
        </w:rPr>
        <w:fldChar w:fldCharType="end"/>
      </w:r>
      <w:r>
        <w:rPr>
          <w:rFonts w:ascii="Times New Roman" w:hAnsi="Times New Roman" w:eastAsia="仿宋_GB2312" w:cs="Times New Roman"/>
          <w:sz w:val="32"/>
          <w:szCs w:val="32"/>
          <w14:ligatures w14:val="none"/>
        </w:rPr>
        <w:fldChar w:fldCharType="end"/>
      </w:r>
    </w:p>
    <w:p>
      <w:pPr>
        <w:tabs>
          <w:tab w:val="right" w:leader="dot" w:pos="8306"/>
        </w:tabs>
        <w:spacing w:line="240" w:lineRule="auto"/>
        <w:ind w:left="960" w:leftChars="400"/>
        <w:rPr>
          <w:rFonts w:ascii="Times New Roman" w:hAnsi="Times New Roman" w:eastAsia="仿宋_GB2312" w:cs="Times New Roman"/>
          <w:sz w:val="32"/>
          <w:szCs w:val="32"/>
          <w14:ligatures w14:val="none"/>
        </w:rPr>
      </w:pPr>
      <w:r>
        <w:fldChar w:fldCharType="begin"/>
      </w:r>
      <w:r>
        <w:instrText xml:space="preserve"> HYPERLINK \l "_Toc340458337" </w:instrText>
      </w:r>
      <w:r>
        <w:fldChar w:fldCharType="separate"/>
      </w:r>
      <w:r>
        <w:rPr>
          <w:rFonts w:ascii="Times New Roman" w:hAnsi="Times New Roman" w:eastAsia="仿宋_GB2312" w:cs="Times New Roman"/>
          <w:sz w:val="32"/>
          <w:szCs w:val="32"/>
          <w14:ligatures w14:val="none"/>
        </w:rPr>
        <w:t>三、建立统一规范的长期护理保险制度</w:t>
      </w:r>
      <w:r>
        <w:rPr>
          <w:rFonts w:ascii="Times New Roman" w:hAnsi="Times New Roman" w:eastAsia="仿宋_GB2312" w:cs="Times New Roman"/>
          <w:sz w:val="32"/>
          <w:szCs w:val="32"/>
          <w14:ligatures w14:val="none"/>
        </w:rPr>
        <w:tab/>
      </w:r>
      <w:r>
        <w:rPr>
          <w:rFonts w:ascii="Times New Roman" w:hAnsi="Times New Roman" w:eastAsia="仿宋_GB2312" w:cs="Times New Roman"/>
          <w:sz w:val="32"/>
          <w:szCs w:val="32"/>
          <w14:ligatures w14:val="none"/>
        </w:rPr>
        <w:fldChar w:fldCharType="begin"/>
      </w:r>
      <w:r>
        <w:rPr>
          <w:rFonts w:ascii="Times New Roman" w:hAnsi="Times New Roman" w:eastAsia="仿宋_GB2312" w:cs="Times New Roman"/>
          <w:sz w:val="32"/>
          <w:szCs w:val="32"/>
          <w14:ligatures w14:val="none"/>
        </w:rPr>
        <w:instrText xml:space="preserve"> PAGEREF _Toc340458337 </w:instrText>
      </w:r>
      <w:r>
        <w:rPr>
          <w:rFonts w:ascii="Times New Roman" w:hAnsi="Times New Roman" w:eastAsia="仿宋_GB2312" w:cs="Times New Roman"/>
          <w:sz w:val="32"/>
          <w:szCs w:val="32"/>
          <w14:ligatures w14:val="none"/>
        </w:rPr>
        <w:fldChar w:fldCharType="separate"/>
      </w:r>
      <w:r>
        <w:rPr>
          <w:rFonts w:ascii="Times New Roman" w:hAnsi="Times New Roman" w:eastAsia="仿宋_GB2312" w:cs="Times New Roman"/>
          <w:sz w:val="32"/>
          <w:szCs w:val="32"/>
          <w14:ligatures w14:val="none"/>
        </w:rPr>
        <w:t>13</w:t>
      </w:r>
      <w:r>
        <w:rPr>
          <w:rFonts w:ascii="Times New Roman" w:hAnsi="Times New Roman" w:eastAsia="仿宋_GB2312" w:cs="Times New Roman"/>
          <w:sz w:val="32"/>
          <w:szCs w:val="32"/>
          <w14:ligatures w14:val="none"/>
        </w:rPr>
        <w:fldChar w:fldCharType="end"/>
      </w:r>
      <w:r>
        <w:rPr>
          <w:rFonts w:ascii="Times New Roman" w:hAnsi="Times New Roman" w:eastAsia="仿宋_GB2312" w:cs="Times New Roman"/>
          <w:sz w:val="32"/>
          <w:szCs w:val="32"/>
          <w14:ligatures w14:val="none"/>
        </w:rPr>
        <w:fldChar w:fldCharType="end"/>
      </w:r>
    </w:p>
    <w:p>
      <w:pPr>
        <w:tabs>
          <w:tab w:val="right" w:leader="dot" w:pos="8306"/>
        </w:tabs>
        <w:spacing w:line="240" w:lineRule="auto"/>
        <w:ind w:left="960" w:leftChars="400"/>
        <w:rPr>
          <w:rFonts w:ascii="Times New Roman" w:hAnsi="Times New Roman" w:eastAsia="仿宋_GB2312" w:cs="Times New Roman"/>
          <w:sz w:val="32"/>
          <w:szCs w:val="32"/>
          <w14:ligatures w14:val="none"/>
        </w:rPr>
      </w:pPr>
      <w:r>
        <w:fldChar w:fldCharType="begin"/>
      </w:r>
      <w:r>
        <w:instrText xml:space="preserve"> HYPERLINK \l "_Toc751314412" </w:instrText>
      </w:r>
      <w:r>
        <w:fldChar w:fldCharType="separate"/>
      </w:r>
      <w:r>
        <w:rPr>
          <w:rFonts w:ascii="Times New Roman" w:hAnsi="Times New Roman" w:eastAsia="仿宋_GB2312" w:cs="Times New Roman"/>
          <w:sz w:val="32"/>
          <w:szCs w:val="32"/>
          <w14:ligatures w14:val="none"/>
        </w:rPr>
        <w:t>四、深化协同高效的医药服务改革</w:t>
      </w:r>
      <w:r>
        <w:rPr>
          <w:rFonts w:ascii="Times New Roman" w:hAnsi="Times New Roman" w:eastAsia="仿宋_GB2312" w:cs="Times New Roman"/>
          <w:sz w:val="32"/>
          <w:szCs w:val="32"/>
          <w14:ligatures w14:val="none"/>
        </w:rPr>
        <w:tab/>
      </w:r>
      <w:r>
        <w:rPr>
          <w:rFonts w:ascii="Times New Roman" w:hAnsi="Times New Roman" w:eastAsia="仿宋_GB2312" w:cs="Times New Roman"/>
          <w:sz w:val="32"/>
          <w:szCs w:val="32"/>
          <w14:ligatures w14:val="none"/>
        </w:rPr>
        <w:fldChar w:fldCharType="begin"/>
      </w:r>
      <w:r>
        <w:rPr>
          <w:rFonts w:ascii="Times New Roman" w:hAnsi="Times New Roman" w:eastAsia="仿宋_GB2312" w:cs="Times New Roman"/>
          <w:sz w:val="32"/>
          <w:szCs w:val="32"/>
          <w14:ligatures w14:val="none"/>
        </w:rPr>
        <w:instrText xml:space="preserve"> PAGEREF _Toc751314412 </w:instrText>
      </w:r>
      <w:r>
        <w:rPr>
          <w:rFonts w:ascii="Times New Roman" w:hAnsi="Times New Roman" w:eastAsia="仿宋_GB2312" w:cs="Times New Roman"/>
          <w:sz w:val="32"/>
          <w:szCs w:val="32"/>
          <w14:ligatures w14:val="none"/>
        </w:rPr>
        <w:fldChar w:fldCharType="separate"/>
      </w:r>
      <w:r>
        <w:rPr>
          <w:rFonts w:ascii="Times New Roman" w:hAnsi="Times New Roman" w:eastAsia="仿宋_GB2312" w:cs="Times New Roman"/>
          <w:sz w:val="32"/>
          <w:szCs w:val="32"/>
          <w14:ligatures w14:val="none"/>
        </w:rPr>
        <w:t>14</w:t>
      </w:r>
      <w:r>
        <w:rPr>
          <w:rFonts w:ascii="Times New Roman" w:hAnsi="Times New Roman" w:eastAsia="仿宋_GB2312" w:cs="Times New Roman"/>
          <w:sz w:val="32"/>
          <w:szCs w:val="32"/>
          <w14:ligatures w14:val="none"/>
        </w:rPr>
        <w:fldChar w:fldCharType="end"/>
      </w:r>
      <w:r>
        <w:rPr>
          <w:rFonts w:ascii="Times New Roman" w:hAnsi="Times New Roman" w:eastAsia="仿宋_GB2312" w:cs="Times New Roman"/>
          <w:sz w:val="32"/>
          <w:szCs w:val="32"/>
          <w14:ligatures w14:val="none"/>
        </w:rPr>
        <w:fldChar w:fldCharType="end"/>
      </w:r>
    </w:p>
    <w:p>
      <w:pPr>
        <w:tabs>
          <w:tab w:val="right" w:leader="dot" w:pos="8306"/>
        </w:tabs>
        <w:spacing w:line="240" w:lineRule="auto"/>
        <w:ind w:left="960" w:leftChars="400"/>
        <w:rPr>
          <w:rFonts w:ascii="Times New Roman" w:hAnsi="Times New Roman" w:eastAsia="仿宋_GB2312" w:cs="Times New Roman"/>
          <w:sz w:val="32"/>
          <w:szCs w:val="32"/>
          <w14:ligatures w14:val="none"/>
        </w:rPr>
      </w:pPr>
      <w:r>
        <w:fldChar w:fldCharType="begin"/>
      </w:r>
      <w:r>
        <w:instrText xml:space="preserve"> HYPERLINK \l "_Toc1135991652" </w:instrText>
      </w:r>
      <w:r>
        <w:fldChar w:fldCharType="separate"/>
      </w:r>
      <w:r>
        <w:rPr>
          <w:rFonts w:ascii="Times New Roman" w:hAnsi="Times New Roman" w:eastAsia="仿宋_GB2312" w:cs="Times New Roman"/>
          <w:sz w:val="32"/>
          <w:szCs w:val="32"/>
          <w14:ligatures w14:val="none"/>
        </w:rPr>
        <w:t>五、健全严密有力的基金监管机制</w:t>
      </w:r>
      <w:r>
        <w:rPr>
          <w:rFonts w:ascii="Times New Roman" w:hAnsi="Times New Roman" w:eastAsia="仿宋_GB2312" w:cs="Times New Roman"/>
          <w:sz w:val="32"/>
          <w:szCs w:val="32"/>
          <w14:ligatures w14:val="none"/>
        </w:rPr>
        <w:tab/>
      </w:r>
      <w:r>
        <w:rPr>
          <w:rFonts w:ascii="Times New Roman" w:hAnsi="Times New Roman" w:eastAsia="仿宋_GB2312" w:cs="Times New Roman"/>
          <w:sz w:val="32"/>
          <w:szCs w:val="32"/>
          <w14:ligatures w14:val="none"/>
        </w:rPr>
        <w:fldChar w:fldCharType="begin"/>
      </w:r>
      <w:r>
        <w:rPr>
          <w:rFonts w:ascii="Times New Roman" w:hAnsi="Times New Roman" w:eastAsia="仿宋_GB2312" w:cs="Times New Roman"/>
          <w:sz w:val="32"/>
          <w:szCs w:val="32"/>
          <w14:ligatures w14:val="none"/>
        </w:rPr>
        <w:instrText xml:space="preserve"> PAGEREF _Toc1135991652 </w:instrText>
      </w:r>
      <w:r>
        <w:rPr>
          <w:rFonts w:ascii="Times New Roman" w:hAnsi="Times New Roman" w:eastAsia="仿宋_GB2312" w:cs="Times New Roman"/>
          <w:sz w:val="32"/>
          <w:szCs w:val="32"/>
          <w14:ligatures w14:val="none"/>
        </w:rPr>
        <w:fldChar w:fldCharType="separate"/>
      </w:r>
      <w:r>
        <w:rPr>
          <w:rFonts w:ascii="Times New Roman" w:hAnsi="Times New Roman" w:eastAsia="仿宋_GB2312" w:cs="Times New Roman"/>
          <w:sz w:val="32"/>
          <w:szCs w:val="32"/>
          <w14:ligatures w14:val="none"/>
        </w:rPr>
        <w:t>17</w:t>
      </w:r>
      <w:r>
        <w:rPr>
          <w:rFonts w:ascii="Times New Roman" w:hAnsi="Times New Roman" w:eastAsia="仿宋_GB2312" w:cs="Times New Roman"/>
          <w:sz w:val="32"/>
          <w:szCs w:val="32"/>
          <w14:ligatures w14:val="none"/>
        </w:rPr>
        <w:fldChar w:fldCharType="end"/>
      </w:r>
      <w:r>
        <w:rPr>
          <w:rFonts w:ascii="Times New Roman" w:hAnsi="Times New Roman" w:eastAsia="仿宋_GB2312" w:cs="Times New Roman"/>
          <w:sz w:val="32"/>
          <w:szCs w:val="32"/>
          <w14:ligatures w14:val="none"/>
        </w:rPr>
        <w:fldChar w:fldCharType="end"/>
      </w:r>
    </w:p>
    <w:p>
      <w:pPr>
        <w:tabs>
          <w:tab w:val="right" w:leader="dot" w:pos="8306"/>
        </w:tabs>
        <w:spacing w:line="240" w:lineRule="auto"/>
        <w:ind w:left="960" w:leftChars="400"/>
        <w:rPr>
          <w:rFonts w:ascii="Times New Roman" w:hAnsi="Times New Roman" w:eastAsia="仿宋_GB2312" w:cs="Times New Roman"/>
          <w:sz w:val="32"/>
          <w:szCs w:val="32"/>
          <w14:ligatures w14:val="none"/>
        </w:rPr>
      </w:pPr>
      <w:r>
        <w:fldChar w:fldCharType="begin"/>
      </w:r>
      <w:r>
        <w:instrText xml:space="preserve"> HYPERLINK \l "_Toc641318400" </w:instrText>
      </w:r>
      <w:r>
        <w:fldChar w:fldCharType="separate"/>
      </w:r>
      <w:r>
        <w:rPr>
          <w:rFonts w:ascii="Times New Roman" w:hAnsi="Times New Roman" w:eastAsia="仿宋_GB2312" w:cs="Times New Roman"/>
          <w:sz w:val="32"/>
          <w:szCs w:val="32"/>
          <w14:ligatures w14:val="none"/>
        </w:rPr>
        <w:t>六、推进精准高效的医疗保障管理体系</w:t>
      </w:r>
      <w:r>
        <w:rPr>
          <w:rFonts w:ascii="Times New Roman" w:hAnsi="Times New Roman" w:eastAsia="仿宋_GB2312" w:cs="Times New Roman"/>
          <w:sz w:val="32"/>
          <w:szCs w:val="32"/>
          <w14:ligatures w14:val="none"/>
        </w:rPr>
        <w:tab/>
      </w:r>
      <w:r>
        <w:rPr>
          <w:rFonts w:ascii="Times New Roman" w:hAnsi="Times New Roman" w:eastAsia="仿宋_GB2312" w:cs="Times New Roman"/>
          <w:sz w:val="32"/>
          <w:szCs w:val="32"/>
          <w14:ligatures w14:val="none"/>
        </w:rPr>
        <w:fldChar w:fldCharType="begin"/>
      </w:r>
      <w:r>
        <w:rPr>
          <w:rFonts w:ascii="Times New Roman" w:hAnsi="Times New Roman" w:eastAsia="仿宋_GB2312" w:cs="Times New Roman"/>
          <w:sz w:val="32"/>
          <w:szCs w:val="32"/>
          <w14:ligatures w14:val="none"/>
        </w:rPr>
        <w:instrText xml:space="preserve"> PAGEREF _Toc641318400 </w:instrText>
      </w:r>
      <w:r>
        <w:rPr>
          <w:rFonts w:ascii="Times New Roman" w:hAnsi="Times New Roman" w:eastAsia="仿宋_GB2312" w:cs="Times New Roman"/>
          <w:sz w:val="32"/>
          <w:szCs w:val="32"/>
          <w14:ligatures w14:val="none"/>
        </w:rPr>
        <w:fldChar w:fldCharType="separate"/>
      </w:r>
      <w:r>
        <w:rPr>
          <w:rFonts w:ascii="Times New Roman" w:hAnsi="Times New Roman" w:eastAsia="仿宋_GB2312" w:cs="Times New Roman"/>
          <w:sz w:val="32"/>
          <w:szCs w:val="32"/>
          <w14:ligatures w14:val="none"/>
        </w:rPr>
        <w:t>18</w:t>
      </w:r>
      <w:r>
        <w:rPr>
          <w:rFonts w:ascii="Times New Roman" w:hAnsi="Times New Roman" w:eastAsia="仿宋_GB2312" w:cs="Times New Roman"/>
          <w:sz w:val="32"/>
          <w:szCs w:val="32"/>
          <w14:ligatures w14:val="none"/>
        </w:rPr>
        <w:fldChar w:fldCharType="end"/>
      </w:r>
      <w:r>
        <w:rPr>
          <w:rFonts w:ascii="Times New Roman" w:hAnsi="Times New Roman" w:eastAsia="仿宋_GB2312" w:cs="Times New Roman"/>
          <w:sz w:val="32"/>
          <w:szCs w:val="32"/>
          <w14:ligatures w14:val="none"/>
        </w:rPr>
        <w:fldChar w:fldCharType="end"/>
      </w:r>
    </w:p>
    <w:p>
      <w:pPr>
        <w:tabs>
          <w:tab w:val="right" w:leader="dot" w:pos="8306"/>
        </w:tabs>
        <w:spacing w:line="240" w:lineRule="auto"/>
        <w:ind w:left="960" w:leftChars="400"/>
        <w:rPr>
          <w:rFonts w:ascii="Times New Roman" w:hAnsi="Times New Roman" w:eastAsia="仿宋_GB2312" w:cs="Times New Roman"/>
          <w:sz w:val="32"/>
          <w:szCs w:val="32"/>
          <w14:ligatures w14:val="none"/>
        </w:rPr>
      </w:pPr>
      <w:r>
        <w:fldChar w:fldCharType="begin"/>
      </w:r>
      <w:r>
        <w:instrText xml:space="preserve"> HYPERLINK \l "_Toc1569254184" </w:instrText>
      </w:r>
      <w:r>
        <w:fldChar w:fldCharType="separate"/>
      </w:r>
      <w:r>
        <w:rPr>
          <w:rFonts w:ascii="Times New Roman" w:hAnsi="Times New Roman" w:eastAsia="仿宋_GB2312" w:cs="Times New Roman"/>
          <w:sz w:val="32"/>
          <w:szCs w:val="32"/>
          <w14:ligatures w14:val="none"/>
        </w:rPr>
        <w:t>七、持续提升医疗保障经办服务水平</w:t>
      </w:r>
      <w:r>
        <w:rPr>
          <w:rFonts w:ascii="Times New Roman" w:hAnsi="Times New Roman" w:eastAsia="仿宋_GB2312" w:cs="Times New Roman"/>
          <w:sz w:val="32"/>
          <w:szCs w:val="32"/>
          <w14:ligatures w14:val="none"/>
        </w:rPr>
        <w:tab/>
      </w:r>
      <w:r>
        <w:rPr>
          <w:rFonts w:ascii="Times New Roman" w:hAnsi="Times New Roman" w:eastAsia="仿宋_GB2312" w:cs="Times New Roman"/>
          <w:sz w:val="32"/>
          <w:szCs w:val="32"/>
          <w14:ligatures w14:val="none"/>
        </w:rPr>
        <w:fldChar w:fldCharType="begin"/>
      </w:r>
      <w:r>
        <w:rPr>
          <w:rFonts w:ascii="Times New Roman" w:hAnsi="Times New Roman" w:eastAsia="仿宋_GB2312" w:cs="Times New Roman"/>
          <w:sz w:val="32"/>
          <w:szCs w:val="32"/>
          <w14:ligatures w14:val="none"/>
        </w:rPr>
        <w:instrText xml:space="preserve"> PAGEREF _Toc1569254184 </w:instrText>
      </w:r>
      <w:r>
        <w:rPr>
          <w:rFonts w:ascii="Times New Roman" w:hAnsi="Times New Roman" w:eastAsia="仿宋_GB2312" w:cs="Times New Roman"/>
          <w:sz w:val="32"/>
          <w:szCs w:val="32"/>
          <w14:ligatures w14:val="none"/>
        </w:rPr>
        <w:fldChar w:fldCharType="separate"/>
      </w:r>
      <w:r>
        <w:rPr>
          <w:rFonts w:ascii="Times New Roman" w:hAnsi="Times New Roman" w:eastAsia="仿宋_GB2312" w:cs="Times New Roman"/>
          <w:sz w:val="32"/>
          <w:szCs w:val="32"/>
          <w14:ligatures w14:val="none"/>
        </w:rPr>
        <w:t>21</w:t>
      </w:r>
      <w:r>
        <w:rPr>
          <w:rFonts w:ascii="Times New Roman" w:hAnsi="Times New Roman" w:eastAsia="仿宋_GB2312" w:cs="Times New Roman"/>
          <w:sz w:val="32"/>
          <w:szCs w:val="32"/>
          <w14:ligatures w14:val="none"/>
        </w:rPr>
        <w:fldChar w:fldCharType="end"/>
      </w:r>
      <w:r>
        <w:rPr>
          <w:rFonts w:ascii="Times New Roman" w:hAnsi="Times New Roman" w:eastAsia="仿宋_GB2312" w:cs="Times New Roman"/>
          <w:sz w:val="32"/>
          <w:szCs w:val="32"/>
          <w14:ligatures w14:val="none"/>
        </w:rPr>
        <w:fldChar w:fldCharType="end"/>
      </w:r>
    </w:p>
    <w:p>
      <w:pPr>
        <w:tabs>
          <w:tab w:val="right" w:leader="dot" w:pos="8306"/>
        </w:tabs>
        <w:spacing w:line="240" w:lineRule="auto"/>
        <w:ind w:left="480" w:leftChars="200"/>
        <w:rPr>
          <w:rFonts w:ascii="Times New Roman" w:hAnsi="Times New Roman" w:eastAsia="仿宋_GB2312" w:cs="Times New Roman"/>
          <w:sz w:val="32"/>
          <w:szCs w:val="32"/>
          <w14:ligatures w14:val="none"/>
        </w:rPr>
      </w:pPr>
      <w:r>
        <w:fldChar w:fldCharType="begin"/>
      </w:r>
      <w:r>
        <w:instrText xml:space="preserve"> HYPERLINK \l "_Toc54273545" </w:instrText>
      </w:r>
      <w:r>
        <w:fldChar w:fldCharType="separate"/>
      </w:r>
      <w:r>
        <w:rPr>
          <w:rFonts w:ascii="Times New Roman" w:hAnsi="Times New Roman" w:eastAsia="仿宋_GB2312" w:cs="Times New Roman"/>
          <w:sz w:val="32"/>
          <w:szCs w:val="32"/>
          <w14:ligatures w14:val="none"/>
        </w:rPr>
        <w:t>第四章 保障措施</w:t>
      </w:r>
      <w:r>
        <w:rPr>
          <w:rFonts w:ascii="Times New Roman" w:hAnsi="Times New Roman" w:eastAsia="仿宋_GB2312" w:cs="Times New Roman"/>
          <w:sz w:val="32"/>
          <w:szCs w:val="32"/>
          <w14:ligatures w14:val="none"/>
        </w:rPr>
        <w:tab/>
      </w:r>
      <w:r>
        <w:rPr>
          <w:rFonts w:ascii="Times New Roman" w:hAnsi="Times New Roman" w:eastAsia="仿宋_GB2312" w:cs="Times New Roman"/>
          <w:sz w:val="32"/>
          <w:szCs w:val="32"/>
          <w14:ligatures w14:val="none"/>
        </w:rPr>
        <w:fldChar w:fldCharType="begin"/>
      </w:r>
      <w:r>
        <w:rPr>
          <w:rFonts w:ascii="Times New Roman" w:hAnsi="Times New Roman" w:eastAsia="仿宋_GB2312" w:cs="Times New Roman"/>
          <w:sz w:val="32"/>
          <w:szCs w:val="32"/>
          <w14:ligatures w14:val="none"/>
        </w:rPr>
        <w:instrText xml:space="preserve"> PAGEREF _Toc54273545 </w:instrText>
      </w:r>
      <w:r>
        <w:rPr>
          <w:rFonts w:ascii="Times New Roman" w:hAnsi="Times New Roman" w:eastAsia="仿宋_GB2312" w:cs="Times New Roman"/>
          <w:sz w:val="32"/>
          <w:szCs w:val="32"/>
          <w14:ligatures w14:val="none"/>
        </w:rPr>
        <w:fldChar w:fldCharType="separate"/>
      </w:r>
      <w:r>
        <w:rPr>
          <w:rFonts w:ascii="Times New Roman" w:hAnsi="Times New Roman" w:eastAsia="仿宋_GB2312" w:cs="Times New Roman"/>
          <w:sz w:val="32"/>
          <w:szCs w:val="32"/>
          <w14:ligatures w14:val="none"/>
        </w:rPr>
        <w:t>23</w:t>
      </w:r>
      <w:r>
        <w:rPr>
          <w:rFonts w:ascii="Times New Roman" w:hAnsi="Times New Roman" w:eastAsia="仿宋_GB2312" w:cs="Times New Roman"/>
          <w:sz w:val="32"/>
          <w:szCs w:val="32"/>
          <w14:ligatures w14:val="none"/>
        </w:rPr>
        <w:fldChar w:fldCharType="end"/>
      </w:r>
      <w:r>
        <w:rPr>
          <w:rFonts w:ascii="Times New Roman" w:hAnsi="Times New Roman" w:eastAsia="仿宋_GB2312" w:cs="Times New Roman"/>
          <w:sz w:val="32"/>
          <w:szCs w:val="32"/>
          <w14:ligatures w14:val="none"/>
        </w:rPr>
        <w:fldChar w:fldCharType="end"/>
      </w:r>
    </w:p>
    <w:p>
      <w:pPr>
        <w:tabs>
          <w:tab w:val="right" w:leader="dot" w:pos="8306"/>
        </w:tabs>
        <w:spacing w:line="240" w:lineRule="auto"/>
        <w:ind w:left="480" w:leftChars="200"/>
        <w:rPr>
          <w:rFonts w:ascii="Times New Roman" w:hAnsi="Times New Roman" w:eastAsia="仿宋_GB2312" w:cs="Times New Roman"/>
          <w:sz w:val="32"/>
          <w:szCs w:val="32"/>
          <w14:ligatures w14:val="none"/>
        </w:rPr>
      </w:pPr>
      <w:r>
        <w:rPr>
          <w:rFonts w:ascii="Times New Roman" w:hAnsi="Times New Roman" w:eastAsia="仿宋_GB2312" w:cs="Times New Roman"/>
          <w:sz w:val="32"/>
          <w:szCs w:val="32"/>
          <w14:ligatures w14:val="none"/>
        </w:rPr>
        <w:fldChar w:fldCharType="end"/>
      </w:r>
      <w:bookmarkStart w:id="0" w:name="_Toc8425"/>
      <w:bookmarkStart w:id="1" w:name="_Toc27411"/>
      <w:bookmarkStart w:id="2" w:name="_Toc527"/>
    </w:p>
    <w:p>
      <w:pPr>
        <w:spacing w:before="468" w:beforeLines="150" w:after="468" w:afterLines="150" w:line="240" w:lineRule="auto"/>
        <w:jc w:val="center"/>
        <w:rPr>
          <w:rFonts w:ascii="华文中宋" w:hAnsi="华文中宋" w:eastAsia="华文中宋" w:cs="华文中宋"/>
          <w:b/>
          <w:bCs/>
          <w:sz w:val="36"/>
          <w:szCs w:val="36"/>
          <w14:ligatures w14:val="none"/>
        </w:rPr>
      </w:pPr>
    </w:p>
    <w:p>
      <w:pPr>
        <w:spacing w:before="468" w:beforeLines="150" w:after="468" w:afterLines="150" w:line="240" w:lineRule="auto"/>
        <w:jc w:val="center"/>
        <w:rPr>
          <w:rFonts w:ascii="华文中宋" w:hAnsi="华文中宋" w:eastAsia="华文中宋" w:cs="华文中宋"/>
          <w:b/>
          <w:bCs/>
          <w:sz w:val="36"/>
          <w:szCs w:val="36"/>
          <w14:ligatures w14:val="none"/>
        </w:rPr>
      </w:pPr>
    </w:p>
    <w:p>
      <w:pPr>
        <w:spacing w:before="468" w:beforeLines="150" w:after="468" w:afterLines="150" w:line="240" w:lineRule="auto"/>
        <w:jc w:val="center"/>
        <w:rPr>
          <w:rFonts w:ascii="华文中宋" w:hAnsi="华文中宋" w:eastAsia="华文中宋" w:cs="华文中宋"/>
          <w:b/>
          <w:bCs/>
          <w:sz w:val="36"/>
          <w:szCs w:val="36"/>
          <w14:ligatures w14:val="none"/>
        </w:rPr>
        <w:sectPr>
          <w:footerReference r:id="rId3" w:type="default"/>
          <w:pgSz w:w="11906" w:h="16838"/>
          <w:pgMar w:top="1440" w:right="1800" w:bottom="1440" w:left="1800" w:header="851" w:footer="992" w:gutter="0"/>
          <w:pgNumType w:start="1"/>
          <w:cols w:space="720" w:num="1"/>
          <w:docGrid w:type="lines" w:linePitch="312" w:charSpace="0"/>
        </w:sectPr>
      </w:pPr>
    </w:p>
    <w:p>
      <w:pPr>
        <w:spacing w:before="468" w:beforeLines="150" w:after="468" w:afterLines="150" w:line="240" w:lineRule="auto"/>
        <w:jc w:val="center"/>
        <w:rPr>
          <w:rFonts w:ascii="华文中宋" w:hAnsi="华文中宋" w:eastAsia="华文中宋" w:cs="华文中宋"/>
          <w:b/>
          <w:bCs/>
          <w:sz w:val="36"/>
          <w:szCs w:val="36"/>
          <w14:ligatures w14:val="none"/>
        </w:rPr>
      </w:pPr>
      <w:r>
        <w:rPr>
          <w:rFonts w:ascii="华文中宋" w:hAnsi="华文中宋" w:eastAsia="华文中宋" w:cs="华文中宋"/>
          <w:b/>
          <w:bCs/>
          <w:sz w:val="36"/>
          <w:szCs w:val="36"/>
          <w14:ligatures w14:val="none"/>
        </w:rPr>
        <w:t>引 言</w:t>
      </w:r>
      <w:bookmarkEnd w:id="0"/>
      <w:bookmarkEnd w:id="1"/>
      <w:bookmarkEnd w:id="2"/>
    </w:p>
    <w:p>
      <w:pPr>
        <w:rPr>
          <w:rFonts w:ascii="Times New Roman" w:hAnsi="Times New Roman" w:eastAsia="仿宋_GB2312" w:cs="Times New Roman"/>
          <w:sz w:val="32"/>
          <w:szCs w:val="32"/>
          <w14:ligatures w14:val="none"/>
        </w:rPr>
      </w:pPr>
      <w:r>
        <w:rPr>
          <w:rFonts w:ascii="Times New Roman" w:hAnsi="Times New Roman" w:eastAsia="仿宋_GB2312" w:cs="Times New Roman"/>
          <w:sz w:val="32"/>
          <w:szCs w:val="32"/>
          <w14:ligatures w14:val="none"/>
        </w:rPr>
        <w:t>为深入贯彻落实国家、省关于深化医疗保障制度改革的决策部署，依据《广东省医疗保障事业发展“十五五”规划》和《潮州市国民经济和社会发展第十五个五年规划》，结合我市实际，编制本规划。规划系统谋划2026年至2030年我市医疗保障事业高质量发展的目标任务与改革路径，着力构建公平统一、规范高效、可持续的多层次医疗保障体系，为建设繁荣美丽新潮州提供坚实的医保支撑</w:t>
      </w:r>
      <w:r>
        <w:rPr>
          <w:rFonts w:hint="eastAsia" w:ascii="Times New Roman" w:hAnsi="Times New Roman" w:eastAsia="仿宋_GB2312" w:cs="Times New Roman"/>
          <w:sz w:val="32"/>
          <w:szCs w:val="32"/>
          <w14:ligatures w14:val="none"/>
        </w:rPr>
        <w:t>。</w:t>
      </w:r>
      <w:r>
        <w:rPr>
          <w:rFonts w:ascii="Times New Roman" w:hAnsi="Times New Roman" w:eastAsia="仿宋_GB2312" w:cs="Times New Roman"/>
          <w:sz w:val="32"/>
          <w:szCs w:val="32"/>
          <w14:ligatures w14:val="none"/>
        </w:rPr>
        <w:br w:type="page"/>
      </w:r>
    </w:p>
    <w:p>
      <w:pPr>
        <w:rPr>
          <w:rFonts w:ascii="Times New Roman" w:hAnsi="Times New Roman" w:eastAsia="仿宋_GB2312" w:cs="Times New Roman"/>
          <w:sz w:val="32"/>
          <w:szCs w:val="32"/>
          <w14:ligatures w14:val="none"/>
        </w:rPr>
        <w:sectPr>
          <w:pgSz w:w="11906" w:h="16838"/>
          <w:pgMar w:top="1440" w:right="1800" w:bottom="1440" w:left="1800" w:header="851" w:footer="992" w:gutter="0"/>
          <w:cols w:space="425" w:num="1"/>
          <w:docGrid w:type="lines" w:linePitch="312" w:charSpace="0"/>
        </w:sectPr>
      </w:pPr>
    </w:p>
    <w:p>
      <w:pPr>
        <w:keepNext/>
        <w:pageBreakBefore/>
        <w:numPr>
          <w:ilvl w:val="255"/>
          <w:numId w:val="0"/>
        </w:numPr>
        <w:spacing w:before="468" w:beforeLines="150" w:after="468" w:afterLines="150" w:line="240" w:lineRule="auto"/>
        <w:jc w:val="center"/>
        <w:outlineLvl w:val="1"/>
        <w:rPr>
          <w:rFonts w:ascii="华文中宋" w:hAnsi="华文中宋" w:eastAsia="华文中宋" w:cs="华文中宋"/>
          <w:b/>
          <w:sz w:val="36"/>
          <w:szCs w:val="24"/>
          <w14:ligatures w14:val="none"/>
        </w:rPr>
      </w:pPr>
      <w:bookmarkStart w:id="3" w:name="_Toc630303565"/>
      <w:r>
        <w:rPr>
          <w:rFonts w:ascii="华文中宋" w:hAnsi="华文中宋" w:eastAsia="华文中宋" w:cs="华文中宋"/>
          <w:b/>
          <w:sz w:val="36"/>
          <w:szCs w:val="24"/>
          <w14:ligatures w14:val="none"/>
        </w:rPr>
        <w:t>第一章 规划背景</w:t>
      </w:r>
      <w:bookmarkEnd w:id="3"/>
    </w:p>
    <w:p>
      <w:pPr>
        <w:keepNext/>
        <w:keepLines/>
        <w:spacing w:before="468" w:beforeLines="150" w:after="468" w:afterLines="150" w:line="240" w:lineRule="auto"/>
        <w:jc w:val="center"/>
        <w:outlineLvl w:val="2"/>
        <w:rPr>
          <w:rFonts w:ascii="Times New Roman" w:hAnsi="Times New Roman" w:eastAsia="黑体" w:cs="Times New Roman"/>
          <w:bCs/>
          <w:sz w:val="32"/>
          <w:szCs w:val="24"/>
          <w14:ligatures w14:val="none"/>
        </w:rPr>
      </w:pPr>
      <w:bookmarkStart w:id="4" w:name="_Toc526778567"/>
      <w:bookmarkStart w:id="5" w:name="_Toc9177"/>
      <w:bookmarkStart w:id="6" w:name="_Toc10703"/>
      <w:bookmarkStart w:id="7" w:name="_Toc457"/>
      <w:bookmarkStart w:id="8" w:name="_Toc29194"/>
      <w:r>
        <w:rPr>
          <w:rFonts w:ascii="Times New Roman" w:hAnsi="Times New Roman" w:eastAsia="黑体" w:cs="Times New Roman"/>
          <w:bCs/>
          <w:sz w:val="32"/>
          <w:szCs w:val="24"/>
          <w14:ligatures w14:val="none"/>
        </w:rPr>
        <w:t>一、发展基础</w:t>
      </w:r>
      <w:bookmarkEnd w:id="4"/>
      <w:bookmarkEnd w:id="5"/>
      <w:bookmarkEnd w:id="6"/>
      <w:bookmarkEnd w:id="7"/>
      <w:bookmarkEnd w:id="8"/>
    </w:p>
    <w:p>
      <w:pPr>
        <w:spacing w:line="560" w:lineRule="exact"/>
        <w:ind w:firstLine="640" w:firstLineChars="200"/>
        <w:rPr>
          <w:rFonts w:ascii="Times New Roman" w:hAnsi="Times New Roman" w:eastAsia="仿宋_GB2312" w:cs="Times New Roman"/>
          <w:sz w:val="32"/>
          <w:szCs w:val="32"/>
          <w14:ligatures w14:val="none"/>
        </w:rPr>
      </w:pPr>
      <w:r>
        <w:rPr>
          <w:rFonts w:ascii="仿宋_GB2312" w:hAnsi="仿宋_GB2312" w:eastAsia="仿宋_GB2312" w:cs="仿宋_GB2312"/>
          <w:sz w:val="32"/>
          <w:szCs w:val="32"/>
          <w14:ligatures w14:val="none"/>
        </w:rPr>
        <w:t>“十四五”期间，我市医疗保障事业在参保覆盖、基金安全、待遇保障、医药协同及公共服务等领域均完成预期目标，</w:t>
      </w:r>
      <w:r>
        <w:rPr>
          <w:rFonts w:ascii="Times New Roman" w:hAnsi="Times New Roman" w:eastAsia="仿宋_GB2312" w:cs="Times New Roman"/>
          <w:sz w:val="32"/>
          <w:szCs w:val="32"/>
          <w14:ligatures w14:val="none"/>
        </w:rPr>
        <w:t>为健全全市医疗保障体系奠定了坚实基础。主要指标完成情况如下：</w:t>
      </w:r>
    </w:p>
    <w:p>
      <w:pPr>
        <w:widowControl/>
        <w:spacing w:line="240" w:lineRule="atLeast"/>
        <w:ind w:firstLine="643" w:firstLineChars="200"/>
        <w:jc w:val="left"/>
        <w:rPr>
          <w:rFonts w:ascii="Times New Roman" w:hAnsi="Times New Roman" w:eastAsia="楷体" w:cs="Times New Roman"/>
          <w:b/>
          <w:bCs/>
          <w:color w:val="000000"/>
          <w:kern w:val="0"/>
          <w:sz w:val="32"/>
          <w:szCs w:val="32"/>
          <w:lang w:bidi="ar"/>
          <w14:ligatures w14:val="none"/>
        </w:rPr>
      </w:pPr>
      <w:r>
        <w:rPr>
          <w:rFonts w:ascii="Times New Roman" w:hAnsi="Times New Roman" w:eastAsia="楷体" w:cs="Times New Roman"/>
          <w:b/>
          <w:bCs/>
          <w:color w:val="000000"/>
          <w:kern w:val="0"/>
          <w:sz w:val="32"/>
          <w:szCs w:val="32"/>
          <w:lang w:bidi="ar"/>
          <w14:ligatures w14:val="none"/>
        </w:rPr>
        <w:t>（一）制度体系逐步健全。</w:t>
      </w:r>
      <w:r>
        <w:rPr>
          <w:rFonts w:ascii="Times New Roman" w:hAnsi="Times New Roman" w:eastAsia="仿宋_GB2312" w:cs="Times New Roman"/>
          <w:color w:val="000000"/>
          <w:kern w:val="0"/>
          <w:sz w:val="32"/>
          <w:szCs w:val="32"/>
          <w:lang w:bidi="ar"/>
          <w14:ligatures w14:val="none"/>
        </w:rPr>
        <w:t>初步构建以基本医疗保险为主体、医疗救助为托底、大病保险和商业健康保险为补充的多层次医疗保障体系。截至“十四五”期末，全市基本医保参保人数稳定在237万人以上，参保率维持在95%左右。生育保险与职工医保合并实施，覆盖范围持续扩大。重点救助对象住院救助比例稳定在85%以上，有效防范因病致贫、返贫风险。</w:t>
      </w:r>
    </w:p>
    <w:p>
      <w:pPr>
        <w:widowControl/>
        <w:spacing w:line="240" w:lineRule="atLeast"/>
        <w:ind w:firstLine="643" w:firstLineChars="200"/>
        <w:jc w:val="left"/>
        <w:rPr>
          <w:rFonts w:ascii="Times New Roman" w:hAnsi="Times New Roman" w:eastAsia="仿宋_GB2312" w:cs="Times New Roman"/>
          <w:color w:val="000000"/>
          <w:sz w:val="32"/>
          <w:szCs w:val="32"/>
          <w14:ligatures w14:val="none"/>
        </w:rPr>
      </w:pPr>
      <w:r>
        <w:rPr>
          <w:rFonts w:ascii="Times New Roman" w:hAnsi="Times New Roman" w:eastAsia="楷体" w:cs="Times New Roman"/>
          <w:b/>
          <w:bCs/>
          <w:color w:val="000000"/>
          <w:kern w:val="0"/>
          <w:sz w:val="32"/>
          <w:szCs w:val="32"/>
          <w:lang w:bidi="ar"/>
          <w14:ligatures w14:val="none"/>
        </w:rPr>
        <w:t>（二）基金运行稳健安全。</w:t>
      </w:r>
      <w:r>
        <w:rPr>
          <w:rFonts w:ascii="Times New Roman" w:hAnsi="Times New Roman" w:eastAsia="仿宋_GB2312" w:cs="Times New Roman"/>
          <w:color w:val="000000"/>
          <w:kern w:val="0"/>
          <w:sz w:val="32"/>
          <w:szCs w:val="32"/>
          <w:lang w:bidi="ar"/>
          <w14:ligatures w14:val="none"/>
        </w:rPr>
        <w:t>建立健全基金收支平衡机制，2021年至2025年基金年度当期结余均保持在2亿元以上，实现“以收定支、收支平衡、略有结余”的良性运行。2025年职工与居民基本医保政策范围内住院费用基金支付比例分别达81.55%和70.02%。累计落实国家及省级集采药品942个、高值医用耗材32类。</w:t>
      </w:r>
    </w:p>
    <w:p>
      <w:pPr>
        <w:widowControl/>
        <w:spacing w:line="240" w:lineRule="atLeast"/>
        <w:ind w:firstLine="643" w:firstLineChars="200"/>
        <w:jc w:val="left"/>
        <w:rPr>
          <w:rFonts w:ascii="Times New Roman" w:hAnsi="Times New Roman" w:eastAsia="楷体" w:cs="Times New Roman"/>
          <w:b/>
          <w:bCs/>
          <w:color w:val="000000"/>
          <w:kern w:val="0"/>
          <w:sz w:val="32"/>
          <w:szCs w:val="32"/>
          <w:lang w:bidi="ar"/>
          <w14:ligatures w14:val="none"/>
        </w:rPr>
      </w:pPr>
      <w:r>
        <w:rPr>
          <w:rFonts w:ascii="Times New Roman" w:hAnsi="Times New Roman" w:eastAsia="楷体" w:cs="Times New Roman"/>
          <w:b/>
          <w:bCs/>
          <w:color w:val="000000"/>
          <w:kern w:val="0"/>
          <w:sz w:val="32"/>
          <w:szCs w:val="32"/>
          <w:lang w:bidi="ar"/>
          <w14:ligatures w14:val="none"/>
        </w:rPr>
        <w:t>（三）服务供给持续优化。</w:t>
      </w:r>
      <w:r>
        <w:rPr>
          <w:rFonts w:ascii="Times New Roman" w:hAnsi="Times New Roman" w:eastAsia="仿宋_GB2312" w:cs="Times New Roman"/>
          <w:color w:val="000000"/>
          <w:kern w:val="0"/>
          <w:sz w:val="32"/>
          <w:szCs w:val="32"/>
          <w:lang w:bidi="ar"/>
          <w14:ligatures w14:val="none"/>
        </w:rPr>
        <w:t>依托全国统一医保信息平台，医保政务服务事项线上可办率与窗口可办率均达100%。住院费用跨省直接结算率从2022年的51.77%升至2025年底的86.22%。基层服务网络不断完善，参保缴费、报销结算等服务更加便捷。</w:t>
      </w:r>
    </w:p>
    <w:p>
      <w:pPr>
        <w:widowControl/>
        <w:spacing w:line="240" w:lineRule="atLeast"/>
        <w:ind w:firstLine="643" w:firstLineChars="200"/>
        <w:jc w:val="left"/>
        <w:rPr>
          <w:rFonts w:ascii="Times New Roman" w:hAnsi="Times New Roman" w:eastAsia="仿宋_GB2312" w:cs="Times New Roman"/>
          <w:color w:val="000000"/>
          <w:sz w:val="32"/>
          <w:szCs w:val="32"/>
          <w14:ligatures w14:val="none"/>
        </w:rPr>
      </w:pPr>
      <w:r>
        <w:rPr>
          <w:rFonts w:ascii="Times New Roman" w:hAnsi="Times New Roman" w:eastAsia="楷体" w:cs="Times New Roman"/>
          <w:b/>
          <w:bCs/>
          <w:color w:val="000000"/>
          <w:kern w:val="0"/>
          <w:sz w:val="32"/>
          <w:szCs w:val="32"/>
          <w:lang w:bidi="ar"/>
          <w14:ligatures w14:val="none"/>
        </w:rPr>
        <w:t>（四）改革创新深入推进。</w:t>
      </w:r>
      <w:r>
        <w:rPr>
          <w:rFonts w:ascii="Times New Roman" w:hAnsi="Times New Roman" w:eastAsia="仿宋_GB2312" w:cs="Times New Roman"/>
          <w:color w:val="000000"/>
          <w:kern w:val="0"/>
          <w:sz w:val="32"/>
          <w:szCs w:val="32"/>
          <w:lang w:bidi="ar"/>
          <w14:ligatures w14:val="none"/>
        </w:rPr>
        <w:t>积极落</w:t>
      </w:r>
      <w:r>
        <w:rPr>
          <w:rFonts w:hint="eastAsia" w:ascii="仿宋_GB2312" w:hAnsi="仿宋_GB2312" w:eastAsia="仿宋_GB2312" w:cs="仿宋_GB2312"/>
          <w:color w:val="000000"/>
          <w:kern w:val="0"/>
          <w:sz w:val="32"/>
          <w:szCs w:val="32"/>
          <w:lang w:bidi="ar"/>
          <w14:ligatures w14:val="none"/>
        </w:rPr>
        <w:t>实</w:t>
      </w:r>
      <w:r>
        <w:rPr>
          <w:rFonts w:ascii="仿宋_GB2312" w:hAnsi="仿宋_GB2312" w:eastAsia="仿宋_GB2312" w:cs="仿宋_GB2312"/>
          <w:color w:val="000000"/>
          <w:kern w:val="0"/>
          <w:sz w:val="32"/>
          <w:szCs w:val="32"/>
          <w:lang w:bidi="ar"/>
          <w14:ligatures w14:val="none"/>
        </w:rPr>
        <w:t>“</w:t>
      </w:r>
      <w:r>
        <w:rPr>
          <w:rFonts w:hint="eastAsia" w:ascii="仿宋_GB2312" w:hAnsi="仿宋_GB2312" w:eastAsia="仿宋_GB2312" w:cs="仿宋_GB2312"/>
          <w:color w:val="000000"/>
          <w:kern w:val="0"/>
          <w:sz w:val="32"/>
          <w:szCs w:val="32"/>
          <w:lang w:bidi="ar"/>
          <w14:ligatures w14:val="none"/>
        </w:rPr>
        <w:t>三医协同</w:t>
      </w:r>
      <w:r>
        <w:rPr>
          <w:rFonts w:ascii="仿宋_GB2312" w:hAnsi="仿宋_GB2312" w:eastAsia="仿宋_GB2312" w:cs="仿宋_GB2312"/>
          <w:color w:val="000000"/>
          <w:kern w:val="0"/>
          <w:sz w:val="32"/>
          <w:szCs w:val="32"/>
          <w:lang w:bidi="ar"/>
          <w14:ligatures w14:val="none"/>
        </w:rPr>
        <w:t>”</w:t>
      </w:r>
      <w:r>
        <w:rPr>
          <w:rFonts w:ascii="Times New Roman" w:hAnsi="Times New Roman" w:eastAsia="仿宋_GB2312" w:cs="Times New Roman"/>
          <w:color w:val="000000"/>
          <w:kern w:val="0"/>
          <w:sz w:val="32"/>
          <w:szCs w:val="32"/>
          <w:lang w:bidi="ar"/>
          <w14:ligatures w14:val="none"/>
        </w:rPr>
        <w:t>改革要求，推进紧密型县域医共体建设，医保支付方式改革稳步探索。基金监管机制不断健全，建立医保反欺诈大数据模型，推行医保管理员持证上岗与移动稽核终端监管，2025年定点机构检查覆盖率达100%，有效遏制了欺诈骗保行为。</w:t>
      </w:r>
    </w:p>
    <w:p>
      <w:pPr>
        <w:keepLines/>
        <w:pageBreakBefore/>
        <w:numPr>
          <w:ilvl w:val="255"/>
          <w:numId w:val="0"/>
        </w:numPr>
        <w:spacing w:before="468" w:beforeLines="150" w:after="468" w:afterLines="150" w:line="240" w:lineRule="auto"/>
        <w:jc w:val="center"/>
        <w:outlineLvl w:val="2"/>
        <w:rPr>
          <w:rFonts w:ascii="Times New Roman" w:hAnsi="Times New Roman" w:eastAsia="黑体" w:cs="Times New Roman"/>
          <w:bCs/>
          <w:sz w:val="32"/>
          <w:szCs w:val="24"/>
          <w14:ligatures w14:val="none"/>
        </w:rPr>
      </w:pPr>
      <w:bookmarkStart w:id="9" w:name="_Toc445022265"/>
      <w:bookmarkStart w:id="10" w:name="_Toc31882"/>
      <w:bookmarkStart w:id="11" w:name="_Toc6998"/>
      <w:bookmarkStart w:id="12" w:name="_Toc13114"/>
      <w:bookmarkStart w:id="13" w:name="_Toc1078"/>
      <w:r>
        <w:rPr>
          <w:rFonts w:ascii="Times New Roman" w:hAnsi="Times New Roman" w:eastAsia="黑体" w:cs="Times New Roman"/>
          <w:bCs/>
          <w:sz w:val="32"/>
          <w:szCs w:val="24"/>
          <w14:ligatures w14:val="none"/>
        </w:rPr>
        <w:t>二、面临形势</w:t>
      </w:r>
      <w:bookmarkEnd w:id="9"/>
      <w:bookmarkEnd w:id="10"/>
      <w:bookmarkEnd w:id="11"/>
      <w:bookmarkEnd w:id="12"/>
      <w:bookmarkEnd w:id="13"/>
    </w:p>
    <w:p>
      <w:pPr>
        <w:widowControl/>
        <w:spacing w:line="240" w:lineRule="atLeast"/>
        <w:ind w:firstLine="640" w:firstLineChars="200"/>
        <w:jc w:val="left"/>
        <w:rPr>
          <w:rFonts w:ascii="Times New Roman" w:hAnsi="Times New Roman" w:eastAsia="仿宋_GB2312" w:cs="Times New Roman"/>
          <w:color w:val="000000"/>
          <w:kern w:val="0"/>
          <w:sz w:val="32"/>
          <w:szCs w:val="32"/>
          <w:lang w:bidi="ar"/>
          <w14:ligatures w14:val="none"/>
        </w:rPr>
      </w:pPr>
      <w:r>
        <w:rPr>
          <w:rFonts w:ascii="仿宋_GB2312" w:hAnsi="仿宋_GB2312" w:eastAsia="仿宋_GB2312" w:cs="仿宋_GB2312"/>
          <w:sz w:val="32"/>
          <w:szCs w:val="32"/>
          <w14:ligatures w14:val="none"/>
        </w:rPr>
        <w:t>“</w:t>
      </w:r>
      <w:r>
        <w:rPr>
          <w:rFonts w:hint="eastAsia" w:ascii="仿宋_GB2312" w:hAnsi="仿宋_GB2312" w:eastAsia="仿宋_GB2312" w:cs="仿宋_GB2312"/>
          <w:sz w:val="32"/>
          <w:szCs w:val="32"/>
          <w14:ligatures w14:val="none"/>
        </w:rPr>
        <w:t>十五五</w:t>
      </w:r>
      <w:r>
        <w:rPr>
          <w:rFonts w:ascii="仿宋_GB2312" w:hAnsi="仿宋_GB2312" w:eastAsia="仿宋_GB2312" w:cs="仿宋_GB2312"/>
          <w:sz w:val="32"/>
          <w:szCs w:val="32"/>
          <w14:ligatures w14:val="none"/>
        </w:rPr>
        <w:t>”</w:t>
      </w:r>
      <w:r>
        <w:rPr>
          <w:rFonts w:hint="eastAsia" w:ascii="仿宋_GB2312" w:hAnsi="仿宋_GB2312" w:eastAsia="仿宋_GB2312" w:cs="仿宋_GB2312"/>
          <w:sz w:val="32"/>
          <w:szCs w:val="32"/>
          <w14:ligatures w14:val="none"/>
        </w:rPr>
        <w:t>时</w:t>
      </w:r>
      <w:r>
        <w:rPr>
          <w:rFonts w:ascii="Times New Roman" w:hAnsi="Times New Roman" w:eastAsia="仿宋_GB2312" w:cs="Times New Roman"/>
          <w:sz w:val="32"/>
          <w:szCs w:val="32"/>
          <w14:ligatures w14:val="none"/>
        </w:rPr>
        <w:t>期是我国全面建设社会主义现代化国家新征程的关键时期，也是潮州市推动高质量发展、提升民生福祉的重要阶段。我市医疗保障事业发展既面临新的战略机遇，</w:t>
      </w:r>
      <w:r>
        <w:rPr>
          <w:rFonts w:ascii="Times New Roman" w:hAnsi="Times New Roman" w:eastAsia="仿宋_GB2312" w:cs="Times New Roman"/>
          <w:color w:val="000000"/>
          <w:kern w:val="0"/>
          <w:sz w:val="32"/>
          <w:szCs w:val="32"/>
          <w:lang w:bidi="ar"/>
          <w14:ligatures w14:val="none"/>
        </w:rPr>
        <w:t>也需应对诸多严峻挑战。</w:t>
      </w:r>
    </w:p>
    <w:p>
      <w:pPr>
        <w:widowControl/>
        <w:spacing w:line="240" w:lineRule="atLeast"/>
        <w:ind w:firstLine="643" w:firstLineChars="200"/>
        <w:jc w:val="left"/>
        <w:rPr>
          <w:rFonts w:ascii="Times New Roman" w:hAnsi="Times New Roman" w:eastAsia="仿宋_GB2312" w:cs="Times New Roman"/>
          <w:color w:val="000000"/>
          <w:kern w:val="0"/>
          <w:sz w:val="32"/>
          <w:szCs w:val="32"/>
          <w:lang w:bidi="ar"/>
          <w14:ligatures w14:val="none"/>
        </w:rPr>
      </w:pPr>
      <w:r>
        <w:rPr>
          <w:rFonts w:ascii="楷体" w:hAnsi="楷体" w:eastAsia="楷体" w:cs="楷体"/>
          <w:b/>
          <w:bCs/>
          <w:color w:val="000000"/>
          <w:kern w:val="0"/>
          <w:sz w:val="32"/>
          <w:szCs w:val="32"/>
          <w:lang w:bidi="ar"/>
          <w14:ligatures w14:val="none"/>
        </w:rPr>
        <w:t>（一）宏观政策环境持续为医保改革注入新动力。</w:t>
      </w:r>
      <w:r>
        <w:rPr>
          <w:rFonts w:ascii="Times New Roman" w:hAnsi="Times New Roman" w:eastAsia="仿宋_GB2312" w:cs="Times New Roman"/>
          <w:color w:val="000000"/>
          <w:kern w:val="0"/>
          <w:sz w:val="32"/>
          <w:szCs w:val="32"/>
          <w:lang w:bidi="ar"/>
          <w14:ligatures w14:val="none"/>
        </w:rPr>
        <w:t>国家持续深化医疗保障制度改革，推动“三医”协同发展和治理，健全多层次医保体系</w:t>
      </w:r>
      <w:r>
        <w:rPr>
          <w:rFonts w:ascii="Times New Roman" w:hAnsi="Times New Roman" w:eastAsia="仿宋_GB2312" w:cs="Times New Roman"/>
          <w:sz w:val="32"/>
          <w:szCs w:val="32"/>
          <w14:ligatures w14:val="none"/>
        </w:rPr>
        <w:t>。广东省全面推进医疗保障事业高质量发展，省</w:t>
      </w:r>
      <w:r>
        <w:rPr>
          <w:rFonts w:hint="eastAsia" w:ascii="仿宋_GB2312" w:hAnsi="仿宋_GB2312" w:eastAsia="仿宋_GB2312" w:cs="仿宋_GB2312"/>
          <w:sz w:val="32"/>
          <w:szCs w:val="32"/>
          <w14:ligatures w14:val="none"/>
        </w:rPr>
        <w:t>委</w:t>
      </w:r>
      <w:r>
        <w:rPr>
          <w:rFonts w:ascii="仿宋_GB2312" w:hAnsi="仿宋_GB2312" w:eastAsia="仿宋_GB2312" w:cs="仿宋_GB2312"/>
          <w:sz w:val="32"/>
          <w:szCs w:val="32"/>
          <w14:ligatures w14:val="none"/>
        </w:rPr>
        <w:t>“</w:t>
      </w:r>
      <w:r>
        <w:rPr>
          <w:rFonts w:hint="eastAsia" w:ascii="仿宋_GB2312" w:hAnsi="仿宋_GB2312" w:eastAsia="仿宋_GB2312" w:cs="仿宋_GB2312"/>
          <w:sz w:val="32"/>
          <w:szCs w:val="32"/>
          <w14:ligatures w14:val="none"/>
        </w:rPr>
        <w:t>百县千镇万村高质量发展工程</w:t>
      </w:r>
      <w:r>
        <w:rPr>
          <w:rFonts w:ascii="仿宋_GB2312" w:hAnsi="仿宋_GB2312" w:eastAsia="仿宋_GB2312" w:cs="仿宋_GB2312"/>
          <w:sz w:val="32"/>
          <w:szCs w:val="32"/>
          <w14:ligatures w14:val="none"/>
        </w:rPr>
        <w:t>”</w:t>
      </w:r>
      <w:r>
        <w:rPr>
          <w:rFonts w:hint="eastAsia" w:ascii="仿宋_GB2312" w:hAnsi="仿宋_GB2312" w:eastAsia="仿宋_GB2312" w:cs="仿宋_GB2312"/>
          <w:sz w:val="32"/>
          <w:szCs w:val="32"/>
          <w14:ligatures w14:val="none"/>
        </w:rPr>
        <w:t>的</w:t>
      </w:r>
      <w:r>
        <w:rPr>
          <w:rFonts w:ascii="Times New Roman" w:hAnsi="Times New Roman" w:eastAsia="仿宋_GB2312" w:cs="Times New Roman"/>
          <w:sz w:val="32"/>
          <w:szCs w:val="32"/>
          <w14:ligatures w14:val="none"/>
        </w:rPr>
        <w:t>纵深推进，为我市指明了方向、提供了遵循。</w:t>
      </w:r>
    </w:p>
    <w:p>
      <w:pPr>
        <w:widowControl/>
        <w:spacing w:line="240" w:lineRule="atLeast"/>
        <w:ind w:firstLine="643" w:firstLineChars="200"/>
        <w:jc w:val="left"/>
        <w:rPr>
          <w:rFonts w:ascii="楷体" w:hAnsi="楷体" w:eastAsia="楷体" w:cs="楷体"/>
          <w:b/>
          <w:bCs/>
          <w:sz w:val="32"/>
          <w:szCs w:val="32"/>
          <w14:ligatures w14:val="none"/>
        </w:rPr>
      </w:pPr>
      <w:r>
        <w:rPr>
          <w:rFonts w:ascii="楷体" w:hAnsi="楷体" w:eastAsia="楷体" w:cs="楷体"/>
          <w:b/>
          <w:bCs/>
          <w:color w:val="000000"/>
          <w:kern w:val="0"/>
          <w:sz w:val="32"/>
          <w:szCs w:val="32"/>
          <w:lang w:bidi="ar"/>
          <w14:ligatures w14:val="none"/>
        </w:rPr>
        <w:t>（二）人口结构变化对医保可持续发展提出新考验</w:t>
      </w:r>
      <w:r>
        <w:rPr>
          <w:rFonts w:ascii="Times New Roman" w:hAnsi="Times New Roman" w:eastAsia="仿宋_GB2312" w:cs="Times New Roman"/>
          <w:b/>
          <w:bCs/>
          <w:color w:val="000000"/>
          <w:kern w:val="0"/>
          <w:sz w:val="32"/>
          <w:szCs w:val="32"/>
          <w:lang w:bidi="ar"/>
          <w14:ligatures w14:val="none"/>
        </w:rPr>
        <w:t>。</w:t>
      </w:r>
      <w:r>
        <w:rPr>
          <w:rFonts w:ascii="Times New Roman" w:hAnsi="Times New Roman" w:eastAsia="仿宋_GB2312" w:cs="Times New Roman"/>
          <w:color w:val="000000"/>
          <w:kern w:val="0"/>
          <w:sz w:val="32"/>
          <w:szCs w:val="32"/>
          <w:lang w:bidi="ar"/>
          <w14:ligatures w14:val="none"/>
        </w:rPr>
        <w:t>我市人口老龄化程度持续加深，60周岁以上人口占比已超22%，</w:t>
      </w:r>
      <w:r>
        <w:rPr>
          <w:rFonts w:ascii="Times New Roman" w:hAnsi="Times New Roman" w:eastAsia="仿宋_GB2312" w:cs="Times New Roman"/>
          <w:sz w:val="32"/>
          <w:szCs w:val="32"/>
          <w14:ligatures w14:val="none"/>
        </w:rPr>
        <w:t>位列全省前列，老年抚养比不断攀升，医疗照护需求刚性增长。职工医保占比偏低（2025年为14.84%），居民医保占绝对主体地位，基金收入增长面临压力。灵活就业、新业态从业人员规模扩大，稳定参保和精准管理难度增加。医疗费用增长与基金收入增速放缓的矛盾日益凸显，基金中长期平衡压力加大。</w:t>
      </w:r>
    </w:p>
    <w:p>
      <w:pPr>
        <w:widowControl/>
        <w:spacing w:line="240" w:lineRule="atLeast"/>
        <w:ind w:firstLine="643" w:firstLineChars="200"/>
        <w:jc w:val="left"/>
        <w:rPr>
          <w:rFonts w:ascii="Times New Roman" w:hAnsi="Times New Roman" w:eastAsia="仿宋_GB2312" w:cs="Times New Roman"/>
          <w:sz w:val="32"/>
          <w:szCs w:val="32"/>
          <w14:ligatures w14:val="none"/>
        </w:rPr>
      </w:pPr>
      <w:r>
        <w:rPr>
          <w:rFonts w:ascii="楷体" w:hAnsi="楷体" w:eastAsia="楷体" w:cs="楷体"/>
          <w:b/>
          <w:bCs/>
          <w:sz w:val="32"/>
          <w:szCs w:val="32"/>
          <w14:ligatures w14:val="none"/>
        </w:rPr>
        <w:t>（三）资源配置短板制约医保效能充分发挥。</w:t>
      </w:r>
      <w:r>
        <w:rPr>
          <w:rFonts w:ascii="Times New Roman" w:hAnsi="Times New Roman" w:eastAsia="仿宋_GB2312" w:cs="Times New Roman"/>
          <w:sz w:val="32"/>
          <w:szCs w:val="32"/>
          <w14:ligatures w14:val="none"/>
        </w:rPr>
        <w:t>我市优质医疗资源相对匮乏，区域分布不够均衡，基层服务能力偏弱。随着交通日益便捷，参保患者异地就医现象普遍，居全省前列，导致医保基金外流严重，削弱了本地医疗机构发展动力与分级诊疗成效</w:t>
      </w:r>
      <w:r>
        <w:rPr>
          <w:rFonts w:hint="eastAsia" w:ascii="仿宋_GB2312" w:hAnsi="仿宋_GB2312" w:eastAsia="仿宋_GB2312" w:cs="仿宋_GB2312"/>
          <w:sz w:val="32"/>
          <w:szCs w:val="32"/>
          <w14:ligatures w14:val="none"/>
        </w:rPr>
        <w:t>。</w:t>
      </w:r>
      <w:r>
        <w:rPr>
          <w:rFonts w:ascii="仿宋_GB2312" w:hAnsi="仿宋_GB2312" w:eastAsia="仿宋_GB2312" w:cs="仿宋_GB2312"/>
          <w:sz w:val="32"/>
          <w:szCs w:val="32"/>
          <w14:ligatures w14:val="none"/>
        </w:rPr>
        <w:t>“</w:t>
      </w:r>
      <w:r>
        <w:rPr>
          <w:rFonts w:hint="eastAsia" w:ascii="仿宋_GB2312" w:hAnsi="仿宋_GB2312" w:eastAsia="仿宋_GB2312" w:cs="仿宋_GB2312"/>
          <w:sz w:val="32"/>
          <w:szCs w:val="32"/>
          <w14:ligatures w14:val="none"/>
        </w:rPr>
        <w:t>三医</w:t>
      </w:r>
      <w:r>
        <w:rPr>
          <w:rFonts w:ascii="仿宋_GB2312" w:hAnsi="仿宋_GB2312" w:eastAsia="仿宋_GB2312" w:cs="仿宋_GB2312"/>
          <w:sz w:val="32"/>
          <w:szCs w:val="32"/>
          <w14:ligatures w14:val="none"/>
        </w:rPr>
        <w:t>”</w:t>
      </w:r>
      <w:r>
        <w:rPr>
          <w:rFonts w:hint="eastAsia" w:ascii="仿宋_GB2312" w:hAnsi="仿宋_GB2312" w:eastAsia="仿宋_GB2312" w:cs="仿宋_GB2312"/>
          <w:sz w:val="32"/>
          <w:szCs w:val="32"/>
          <w14:ligatures w14:val="none"/>
        </w:rPr>
        <w:t>协同</w:t>
      </w:r>
      <w:r>
        <w:rPr>
          <w:rFonts w:ascii="Times New Roman" w:hAnsi="Times New Roman" w:eastAsia="仿宋_GB2312" w:cs="Times New Roman"/>
          <w:sz w:val="32"/>
          <w:szCs w:val="32"/>
          <w14:ligatures w14:val="none"/>
        </w:rPr>
        <w:t>机制尚不健全，医保支付对资源配置的引导作用未充分发挥。</w:t>
      </w:r>
    </w:p>
    <w:p>
      <w:pPr>
        <w:widowControl/>
        <w:spacing w:line="240" w:lineRule="atLeast"/>
        <w:ind w:firstLine="643" w:firstLineChars="200"/>
        <w:jc w:val="left"/>
        <w:rPr>
          <w:rFonts w:ascii="Times New Roman" w:hAnsi="Times New Roman" w:eastAsia="仿宋_GB2312" w:cs="Times New Roman"/>
          <w:sz w:val="32"/>
          <w:szCs w:val="32"/>
          <w14:ligatures w14:val="none"/>
        </w:rPr>
      </w:pPr>
      <w:r>
        <w:rPr>
          <w:rFonts w:ascii="楷体" w:hAnsi="楷体" w:eastAsia="楷体" w:cs="楷体"/>
          <w:b/>
          <w:bCs/>
          <w:sz w:val="32"/>
          <w:szCs w:val="32"/>
          <w14:ligatures w14:val="none"/>
        </w:rPr>
        <w:t>（四）管理服务精细化水平有待提升。</w:t>
      </w:r>
      <w:r>
        <w:rPr>
          <w:rFonts w:ascii="Times New Roman" w:hAnsi="Times New Roman" w:eastAsia="仿宋_GB2312" w:cs="Times New Roman"/>
          <w:sz w:val="32"/>
          <w:szCs w:val="32"/>
          <w14:ligatures w14:val="none"/>
        </w:rPr>
        <w:t>基金使用绩效评价和智能监管能力不足，数据驱动决策能力薄弱。医保公共服务的数字化、智能化转型处于起步阶段，线上服务体验、适老化改造、基层网点便捷度等方面与群众期待仍有距离。大数据、人工智能等新技术在风险预警、待遇核验、慢性病管理等领域的应用深度不足。</w:t>
      </w:r>
    </w:p>
    <w:p>
      <w:pPr>
        <w:widowControl/>
        <w:spacing w:line="240" w:lineRule="atLeast"/>
        <w:ind w:firstLine="643" w:firstLineChars="200"/>
        <w:jc w:val="left"/>
        <w:rPr>
          <w:rFonts w:ascii="Times New Roman" w:hAnsi="Times New Roman" w:eastAsia="仿宋_GB2312" w:cs="Times New Roman"/>
          <w:sz w:val="32"/>
          <w:szCs w:val="32"/>
          <w14:ligatures w14:val="none"/>
        </w:rPr>
      </w:pPr>
      <w:r>
        <w:rPr>
          <w:rFonts w:ascii="楷体" w:hAnsi="楷体" w:eastAsia="楷体" w:cs="楷体"/>
          <w:b/>
          <w:bCs/>
          <w:sz w:val="32"/>
          <w:szCs w:val="32"/>
          <w14:ligatures w14:val="none"/>
        </w:rPr>
        <w:t>（五）多层次保障体系发展不充分。</w:t>
      </w:r>
      <w:r>
        <w:rPr>
          <w:rFonts w:ascii="Times New Roman" w:hAnsi="Times New Roman" w:eastAsia="仿宋_GB2312" w:cs="Times New Roman"/>
          <w:sz w:val="32"/>
          <w:szCs w:val="32"/>
          <w14:ligatures w14:val="none"/>
        </w:rPr>
        <w:t>当前保障功能倚重基本医保和医疗救助，门诊共济保障机制有待优化。商业健康保险发展缓慢，与基本医保衔接不够紧密。长期护理保险制度尚未建立，</w:t>
      </w:r>
      <w:r>
        <w:rPr>
          <w:rFonts w:hint="eastAsia" w:ascii="Times New Roman" w:hAnsi="Times New Roman" w:eastAsia="仿宋_GB2312" w:cs="Times New Roman"/>
          <w:color w:val="auto"/>
          <w:sz w:val="32"/>
          <w:szCs w:val="32"/>
          <w14:ligatures w14:val="none"/>
        </w:rPr>
        <w:t>难以有效应对人口老龄化带来的失能照护风险</w:t>
      </w:r>
      <w:r>
        <w:rPr>
          <w:rFonts w:hint="eastAsia" w:ascii="Times New Roman" w:hAnsi="Times New Roman" w:eastAsia="仿宋_GB2312" w:cs="Times New Roman"/>
          <w:color w:val="auto"/>
          <w:sz w:val="32"/>
          <w:szCs w:val="32"/>
          <w:lang w:eastAsia="zh-CN"/>
          <w14:ligatures w14:val="none"/>
        </w:rPr>
        <w:t>，</w:t>
      </w:r>
      <w:r>
        <w:rPr>
          <w:rFonts w:ascii="Times New Roman" w:hAnsi="Times New Roman" w:eastAsia="仿宋_GB2312" w:cs="Times New Roman"/>
          <w:sz w:val="32"/>
          <w:szCs w:val="32"/>
          <w14:ligatures w14:val="none"/>
        </w:rPr>
        <w:t>慈善救助、医疗互助等社会力量参与渠道不畅，整体合力尚未形成。</w:t>
      </w:r>
    </w:p>
    <w:p>
      <w:pPr>
        <w:widowControl/>
        <w:spacing w:line="240" w:lineRule="atLeast"/>
        <w:ind w:firstLine="640" w:firstLineChars="200"/>
        <w:jc w:val="left"/>
        <w:rPr>
          <w:rFonts w:ascii="Times New Roman" w:hAnsi="Times New Roman" w:eastAsia="仿宋_GB2312" w:cs="Times New Roman"/>
          <w:sz w:val="32"/>
          <w:szCs w:val="32"/>
          <w14:ligatures w14:val="none"/>
        </w:rPr>
      </w:pPr>
      <w:r>
        <w:rPr>
          <w:rFonts w:ascii="Times New Roman" w:hAnsi="Times New Roman" w:eastAsia="仿宋_GB2312" w:cs="Times New Roman"/>
          <w:sz w:val="32"/>
          <w:szCs w:val="32"/>
          <w14:ligatures w14:val="none"/>
        </w:rPr>
        <w:t>综合研判，</w:t>
      </w:r>
      <w:r>
        <w:rPr>
          <w:rFonts w:hint="eastAsia" w:ascii="仿宋_GB2312" w:hAnsi="仿宋_GB2312" w:eastAsia="仿宋_GB2312" w:cs="仿宋_GB2312"/>
          <w:sz w:val="32"/>
          <w:szCs w:val="32"/>
          <w14:ligatures w14:val="none"/>
        </w:rPr>
        <w:t>“十五五”时期</w:t>
      </w:r>
      <w:r>
        <w:rPr>
          <w:rFonts w:ascii="Times New Roman" w:hAnsi="Times New Roman" w:eastAsia="仿宋_GB2312" w:cs="Times New Roman"/>
          <w:sz w:val="32"/>
          <w:szCs w:val="32"/>
          <w14:ligatures w14:val="none"/>
        </w:rPr>
        <w:t>我市医保事业处于提质增效、深化改革的关键阶段，必须坚持问题导向，着力破解发展难题，推动我市医疗保障制度更加成熟定型，治理效能全面提升。</w:t>
      </w:r>
    </w:p>
    <w:p>
      <w:pPr>
        <w:spacing w:line="240" w:lineRule="auto"/>
        <w:rPr>
          <w:rFonts w:ascii="Times New Roman" w:hAnsi="Times New Roman" w:cs="Times New Roman"/>
          <w:b/>
          <w:sz w:val="36"/>
          <w:szCs w:val="24"/>
          <w14:ligatures w14:val="none"/>
        </w:rPr>
      </w:pPr>
      <w:r>
        <w:rPr>
          <w:rFonts w:ascii="Times New Roman" w:hAnsi="Times New Roman" w:cs="Times New Roman"/>
          <w:b/>
          <w:sz w:val="36"/>
          <w:szCs w:val="24"/>
          <w14:ligatures w14:val="none"/>
        </w:rPr>
        <w:br w:type="page"/>
      </w:r>
    </w:p>
    <w:p>
      <w:pPr>
        <w:pageBreakBefore/>
        <w:numPr>
          <w:ilvl w:val="255"/>
          <w:numId w:val="0"/>
        </w:numPr>
        <w:spacing w:before="468" w:beforeLines="150" w:after="468" w:afterLines="150" w:line="240" w:lineRule="auto"/>
        <w:jc w:val="center"/>
        <w:outlineLvl w:val="1"/>
        <w:rPr>
          <w:rFonts w:ascii="华文中宋" w:hAnsi="华文中宋" w:eastAsia="华文中宋" w:cs="华文中宋"/>
          <w:b/>
          <w:sz w:val="36"/>
          <w:szCs w:val="24"/>
          <w14:ligatures w14:val="none"/>
        </w:rPr>
      </w:pPr>
      <w:bookmarkStart w:id="14" w:name="_Toc8707"/>
      <w:bookmarkStart w:id="15" w:name="_Toc27242"/>
      <w:bookmarkStart w:id="16" w:name="_Toc1231748026"/>
      <w:bookmarkStart w:id="17" w:name="_Toc11359"/>
      <w:bookmarkStart w:id="18" w:name="_Toc30401"/>
      <w:r>
        <w:rPr>
          <w:rFonts w:ascii="华文中宋" w:hAnsi="华文中宋" w:eastAsia="华文中宋" w:cs="华文中宋"/>
          <w:b/>
          <w:sz w:val="36"/>
          <w:szCs w:val="24"/>
          <w14:ligatures w14:val="none"/>
        </w:rPr>
        <w:t>第二章 总体要求</w:t>
      </w:r>
      <w:bookmarkEnd w:id="14"/>
      <w:bookmarkEnd w:id="15"/>
      <w:bookmarkEnd w:id="16"/>
      <w:bookmarkEnd w:id="17"/>
      <w:bookmarkEnd w:id="18"/>
    </w:p>
    <w:p>
      <w:pPr>
        <w:keepNext/>
        <w:keepLines/>
        <w:numPr>
          <w:ilvl w:val="255"/>
          <w:numId w:val="0"/>
        </w:numPr>
        <w:spacing w:before="468" w:beforeLines="150" w:after="468" w:afterLines="150" w:line="240" w:lineRule="auto"/>
        <w:jc w:val="center"/>
        <w:outlineLvl w:val="2"/>
        <w:rPr>
          <w:rFonts w:ascii="Times New Roman" w:hAnsi="Times New Roman" w:eastAsia="黑体" w:cs="Times New Roman"/>
          <w:bCs/>
          <w:sz w:val="32"/>
          <w:szCs w:val="24"/>
          <w14:ligatures w14:val="none"/>
        </w:rPr>
      </w:pPr>
      <w:bookmarkStart w:id="19" w:name="_Toc19100"/>
      <w:bookmarkStart w:id="20" w:name="_Toc22428"/>
      <w:bookmarkStart w:id="21" w:name="_Toc31125"/>
      <w:bookmarkStart w:id="22" w:name="_Toc3099"/>
      <w:bookmarkStart w:id="23" w:name="_Toc1114592742"/>
      <w:r>
        <w:rPr>
          <w:rFonts w:ascii="Times New Roman" w:hAnsi="Times New Roman" w:eastAsia="黑体" w:cs="Times New Roman"/>
          <w:bCs/>
          <w:sz w:val="32"/>
          <w:szCs w:val="24"/>
          <w14:ligatures w14:val="none"/>
        </w:rPr>
        <w:t>一、指导思想</w:t>
      </w:r>
      <w:bookmarkEnd w:id="19"/>
      <w:bookmarkEnd w:id="20"/>
      <w:bookmarkEnd w:id="21"/>
      <w:bookmarkEnd w:id="22"/>
      <w:bookmarkEnd w:id="23"/>
    </w:p>
    <w:p>
      <w:pPr>
        <w:spacing w:line="240" w:lineRule="auto"/>
        <w:ind w:firstLine="640" w:firstLineChars="200"/>
        <w:rPr>
          <w:rFonts w:ascii="Times New Roman" w:hAnsi="Times New Roman" w:eastAsia="仿宋_GB2312" w:cs="Times New Roman"/>
          <w:sz w:val="32"/>
          <w:szCs w:val="32"/>
          <w14:ligatures w14:val="none"/>
        </w:rPr>
      </w:pPr>
      <w:r>
        <w:rPr>
          <w:rFonts w:ascii="Times New Roman" w:hAnsi="Times New Roman" w:eastAsia="仿宋_GB2312" w:cs="Times New Roman"/>
          <w:sz w:val="32"/>
          <w:szCs w:val="32"/>
          <w14:ligatures w14:val="none"/>
        </w:rPr>
        <w:t>以习近平新时代中国特色社会主义思想为指导，锚定“奋力解除全体人民的疾病医疗后顾之忧”根本目标，立足我市发展实际，紧扣健康潮州建设和“百县千镇万村高质量发展工程”部署，以深化医保制度改革为主线，以数字化改革为牵引，以</w:t>
      </w:r>
      <w:r>
        <w:rPr>
          <w:rFonts w:ascii="仿宋_GB2312" w:hAnsi="仿宋_GB2312" w:eastAsia="仿宋_GB2312" w:cs="仿宋_GB2312"/>
          <w:sz w:val="32"/>
          <w:szCs w:val="32"/>
          <w14:ligatures w14:val="none"/>
        </w:rPr>
        <w:t>“</w:t>
      </w:r>
      <w:r>
        <w:rPr>
          <w:rFonts w:hint="eastAsia" w:ascii="仿宋_GB2312" w:hAnsi="仿宋_GB2312" w:eastAsia="仿宋_GB2312" w:cs="仿宋_GB2312"/>
          <w:sz w:val="32"/>
          <w:szCs w:val="32"/>
          <w14:ligatures w14:val="none"/>
        </w:rPr>
        <w:t>三医协同</w:t>
      </w:r>
      <w:r>
        <w:rPr>
          <w:rFonts w:ascii="仿宋_GB2312" w:hAnsi="仿宋_GB2312" w:eastAsia="仿宋_GB2312" w:cs="仿宋_GB2312"/>
          <w:sz w:val="32"/>
          <w:szCs w:val="32"/>
          <w14:ligatures w14:val="none"/>
        </w:rPr>
        <w:t>”</w:t>
      </w:r>
      <w:r>
        <w:rPr>
          <w:rFonts w:hint="eastAsia" w:ascii="仿宋_GB2312" w:hAnsi="仿宋_GB2312" w:eastAsia="仿宋_GB2312" w:cs="仿宋_GB2312"/>
          <w:sz w:val="32"/>
          <w:szCs w:val="32"/>
          <w14:ligatures w14:val="none"/>
        </w:rPr>
        <w:t>为</w:t>
      </w:r>
      <w:r>
        <w:rPr>
          <w:rFonts w:ascii="Times New Roman" w:hAnsi="Times New Roman" w:eastAsia="仿宋_GB2312" w:cs="Times New Roman"/>
          <w:sz w:val="32"/>
          <w:szCs w:val="32"/>
          <w14:ligatures w14:val="none"/>
        </w:rPr>
        <w:t>抓手，聚焦参保筹资、待遇保障、基金监管、经办服务等核心领域，加快构建公平统一、稳健可持续的多层次医疗保障体系，推动医保事业高质量发展。</w:t>
      </w:r>
    </w:p>
    <w:p>
      <w:pPr>
        <w:keepNext/>
        <w:keepLines/>
        <w:pageBreakBefore/>
        <w:numPr>
          <w:ilvl w:val="255"/>
          <w:numId w:val="0"/>
        </w:numPr>
        <w:spacing w:before="468" w:beforeLines="150" w:after="468" w:afterLines="150" w:line="240" w:lineRule="auto"/>
        <w:jc w:val="center"/>
        <w:outlineLvl w:val="2"/>
        <w:rPr>
          <w:rFonts w:ascii="Times New Roman" w:hAnsi="Times New Roman" w:eastAsia="黑体" w:cs="Times New Roman"/>
          <w:bCs/>
          <w:sz w:val="32"/>
          <w:szCs w:val="24"/>
          <w14:ligatures w14:val="none"/>
        </w:rPr>
      </w:pPr>
      <w:bookmarkStart w:id="24" w:name="_Toc10574"/>
      <w:bookmarkStart w:id="25" w:name="_Toc1668987413"/>
      <w:bookmarkStart w:id="26" w:name="_Toc3571"/>
      <w:bookmarkStart w:id="27" w:name="_Toc22978"/>
      <w:bookmarkStart w:id="28" w:name="_Toc16336"/>
      <w:r>
        <w:rPr>
          <w:rFonts w:ascii="Times New Roman" w:hAnsi="Times New Roman" w:eastAsia="黑体" w:cs="Times New Roman"/>
          <w:bCs/>
          <w:sz w:val="32"/>
          <w:szCs w:val="24"/>
          <w14:ligatures w14:val="none"/>
        </w:rPr>
        <w:t>二、基本原则</w:t>
      </w:r>
      <w:bookmarkEnd w:id="24"/>
      <w:bookmarkEnd w:id="25"/>
      <w:bookmarkEnd w:id="26"/>
      <w:bookmarkEnd w:id="27"/>
      <w:bookmarkEnd w:id="28"/>
    </w:p>
    <w:p>
      <w:pPr>
        <w:widowControl/>
        <w:spacing w:line="240" w:lineRule="atLeast"/>
        <w:ind w:firstLine="643" w:firstLineChars="200"/>
        <w:jc w:val="left"/>
        <w:rPr>
          <w:rFonts w:ascii="Times New Roman" w:hAnsi="Times New Roman" w:eastAsia="仿宋_GB2312" w:cs="Times New Roman"/>
          <w:color w:val="000000"/>
          <w:kern w:val="0"/>
          <w:sz w:val="32"/>
          <w:szCs w:val="32"/>
          <w:lang w:bidi="ar"/>
          <w14:ligatures w14:val="none"/>
        </w:rPr>
      </w:pPr>
      <w:r>
        <w:rPr>
          <w:rFonts w:ascii="Times New Roman" w:hAnsi="Times New Roman" w:eastAsia="楷体" w:cs="Times New Roman"/>
          <w:b/>
          <w:bCs/>
          <w:color w:val="000000"/>
          <w:kern w:val="0"/>
          <w:sz w:val="32"/>
          <w:szCs w:val="32"/>
          <w:lang w:bidi="ar"/>
          <w14:ligatures w14:val="none"/>
        </w:rPr>
        <w:t>（一）民生为本，公平普惠。</w:t>
      </w:r>
      <w:r>
        <w:rPr>
          <w:rFonts w:ascii="Times New Roman" w:hAnsi="Times New Roman" w:eastAsia="仿宋_GB2312" w:cs="Times New Roman"/>
          <w:color w:val="000000"/>
          <w:kern w:val="0"/>
          <w:sz w:val="32"/>
          <w:szCs w:val="32"/>
          <w:lang w:bidi="ar"/>
          <w14:ligatures w14:val="none"/>
        </w:rPr>
        <w:t>坚持医疗保障的民生兜底定位，巩固全民参保成果，推动待遇政策公平统一，缩小城乡、区域、人群之间的保障差距。聚焦困难群众、老年人、新业态从业人员等重点对象强化精准保障和服务，让医保改革发展成果更公平惠及全体人民。</w:t>
      </w:r>
    </w:p>
    <w:p>
      <w:pPr>
        <w:widowControl/>
        <w:spacing w:line="240" w:lineRule="auto"/>
        <w:ind w:firstLine="643" w:firstLineChars="200"/>
        <w:jc w:val="left"/>
        <w:rPr>
          <w:rFonts w:ascii="Times New Roman" w:hAnsi="Times New Roman" w:eastAsia="仿宋_GB2312" w:cs="Times New Roman"/>
          <w:color w:val="000000"/>
          <w:kern w:val="0"/>
          <w:sz w:val="32"/>
          <w:szCs w:val="32"/>
          <w:lang w:bidi="ar"/>
          <w14:ligatures w14:val="none"/>
        </w:rPr>
      </w:pPr>
      <w:r>
        <w:rPr>
          <w:rFonts w:ascii="Times New Roman" w:hAnsi="Times New Roman" w:eastAsia="楷体" w:cs="Times New Roman"/>
          <w:b/>
          <w:bCs/>
          <w:color w:val="000000"/>
          <w:kern w:val="0"/>
          <w:sz w:val="32"/>
          <w:szCs w:val="32"/>
          <w:lang w:bidi="ar"/>
          <w14:ligatures w14:val="none"/>
        </w:rPr>
        <w:t>（二）立足实际，量力而行。</w:t>
      </w:r>
      <w:r>
        <w:rPr>
          <w:rFonts w:ascii="Times New Roman" w:hAnsi="Times New Roman" w:eastAsia="仿宋_GB2312" w:cs="Times New Roman"/>
          <w:color w:val="000000"/>
          <w:kern w:val="0"/>
          <w:sz w:val="32"/>
          <w:szCs w:val="32"/>
          <w:lang w:bidi="ar"/>
          <w14:ligatures w14:val="none"/>
        </w:rPr>
        <w:t>立足我市欠发达地区实际和基金承受能力，坚持“保基本”定位，合理确定保障范围和待遇水平。统筹平衡保障需求与基金可持续，实现医保发展与经济社会发展相协调。</w:t>
      </w:r>
    </w:p>
    <w:p>
      <w:pPr>
        <w:widowControl/>
        <w:spacing w:line="240" w:lineRule="atLeast"/>
        <w:ind w:firstLine="643" w:firstLineChars="200"/>
        <w:jc w:val="left"/>
        <w:rPr>
          <w:rFonts w:ascii="Times New Roman" w:hAnsi="Times New Roman" w:eastAsia="仿宋_GB2312" w:cs="Times New Roman"/>
          <w:color w:val="000000"/>
          <w:kern w:val="0"/>
          <w:sz w:val="32"/>
          <w:szCs w:val="32"/>
          <w:lang w:bidi="ar"/>
          <w14:ligatures w14:val="none"/>
        </w:rPr>
      </w:pPr>
      <w:r>
        <w:rPr>
          <w:rFonts w:ascii="Times New Roman" w:hAnsi="Times New Roman" w:eastAsia="楷体" w:cs="Times New Roman"/>
          <w:b/>
          <w:bCs/>
          <w:color w:val="000000"/>
          <w:kern w:val="0"/>
          <w:sz w:val="32"/>
          <w:szCs w:val="32"/>
          <w:lang w:bidi="ar"/>
          <w14:ligatures w14:val="none"/>
        </w:rPr>
        <w:t>（三）改革创新，协同发力。</w:t>
      </w:r>
      <w:r>
        <w:rPr>
          <w:rFonts w:ascii="Times New Roman" w:hAnsi="Times New Roman" w:eastAsia="仿宋_GB2312" w:cs="Times New Roman"/>
          <w:color w:val="000000"/>
          <w:kern w:val="0"/>
          <w:sz w:val="32"/>
          <w:szCs w:val="32"/>
          <w:lang w:bidi="ar"/>
          <w14:ligatures w14:val="none"/>
        </w:rPr>
        <w:t>深化“三医协同”改革，强化多部门联动，推动政策协同、信息联通、监管联动。立足特色产业就业形态创新参保筹</w:t>
      </w:r>
      <w:r>
        <w:rPr>
          <w:rFonts w:ascii="Times New Roman" w:hAnsi="Times New Roman" w:eastAsia="仿宋_GB2312" w:cs="Times New Roman"/>
          <w:color w:val="auto"/>
          <w:kern w:val="0"/>
          <w:sz w:val="32"/>
          <w:szCs w:val="32"/>
          <w:lang w:bidi="ar"/>
          <w14:ligatures w14:val="none"/>
        </w:rPr>
        <w:t>资</w:t>
      </w:r>
      <w:r>
        <w:rPr>
          <w:rFonts w:hint="eastAsia" w:ascii="Times New Roman" w:hAnsi="Times New Roman" w:eastAsia="仿宋_GB2312" w:cs="Times New Roman"/>
          <w:color w:val="auto"/>
          <w:kern w:val="0"/>
          <w:sz w:val="32"/>
          <w:szCs w:val="32"/>
          <w:lang w:bidi="ar"/>
          <w14:ligatures w14:val="none"/>
        </w:rPr>
        <w:t>、待遇保障</w:t>
      </w:r>
      <w:r>
        <w:rPr>
          <w:rFonts w:ascii="Times New Roman" w:hAnsi="Times New Roman" w:eastAsia="仿宋_GB2312" w:cs="Times New Roman"/>
          <w:color w:val="auto"/>
          <w:kern w:val="0"/>
          <w:sz w:val="32"/>
          <w:szCs w:val="32"/>
          <w:lang w:bidi="ar"/>
          <w14:ligatures w14:val="none"/>
        </w:rPr>
        <w:t>和服务</w:t>
      </w:r>
      <w:r>
        <w:rPr>
          <w:rFonts w:ascii="Times New Roman" w:hAnsi="Times New Roman" w:eastAsia="仿宋_GB2312" w:cs="Times New Roman"/>
          <w:color w:val="000000"/>
          <w:kern w:val="0"/>
          <w:sz w:val="32"/>
          <w:szCs w:val="32"/>
          <w:lang w:bidi="ar"/>
          <w14:ligatures w14:val="none"/>
        </w:rPr>
        <w:t>模式，以数字技术赋能治理创新，以改革破解发展难题。</w:t>
      </w:r>
    </w:p>
    <w:p>
      <w:pPr>
        <w:widowControl/>
        <w:spacing w:line="240" w:lineRule="atLeast"/>
        <w:ind w:firstLine="643" w:firstLineChars="200"/>
        <w:jc w:val="left"/>
        <w:rPr>
          <w:rFonts w:ascii="Times New Roman" w:hAnsi="Times New Roman" w:eastAsia="仿宋_GB2312" w:cs="Times New Roman"/>
          <w:color w:val="000000"/>
          <w:kern w:val="0"/>
          <w:sz w:val="32"/>
          <w:szCs w:val="32"/>
          <w:lang w:bidi="ar"/>
          <w14:ligatures w14:val="none"/>
        </w:rPr>
      </w:pPr>
      <w:r>
        <w:rPr>
          <w:rFonts w:ascii="Times New Roman" w:hAnsi="Times New Roman" w:eastAsia="楷体" w:cs="Times New Roman"/>
          <w:b/>
          <w:bCs/>
          <w:color w:val="000000"/>
          <w:kern w:val="0"/>
          <w:sz w:val="32"/>
          <w:szCs w:val="32"/>
          <w:lang w:bidi="ar"/>
          <w14:ligatures w14:val="none"/>
        </w:rPr>
        <w:t>（四）数字赋能，提质增效。</w:t>
      </w:r>
      <w:r>
        <w:rPr>
          <w:rFonts w:ascii="Times New Roman" w:hAnsi="Times New Roman" w:eastAsia="仿宋_GB2312" w:cs="Times New Roman"/>
          <w:color w:val="000000"/>
          <w:kern w:val="0"/>
          <w:sz w:val="32"/>
          <w:szCs w:val="32"/>
          <w:lang w:bidi="ar"/>
          <w14:ligatures w14:val="none"/>
        </w:rPr>
        <w:t>依托全国统一医保信息平台，深化大数据、人工智能等技术应用，推动数据整合共享。以数字化推动经办服务标准化、智能化、便捷化，实现监管从“人工核查”向“智能监控”、服务从“被动响应”向“主动匹配”转变。</w:t>
      </w:r>
    </w:p>
    <w:p>
      <w:pPr>
        <w:spacing w:line="240" w:lineRule="atLeast"/>
        <w:ind w:firstLine="643" w:firstLineChars="200"/>
        <w:jc w:val="left"/>
        <w:rPr>
          <w:rFonts w:ascii="Times New Roman" w:hAnsi="Times New Roman" w:eastAsia="仿宋_GB2312" w:cs="Times New Roman"/>
          <w:color w:val="000000"/>
          <w:kern w:val="0"/>
          <w:sz w:val="32"/>
          <w:szCs w:val="32"/>
          <w:lang w:bidi="ar"/>
          <w14:ligatures w14:val="none"/>
        </w:rPr>
      </w:pPr>
      <w:r>
        <w:rPr>
          <w:rFonts w:ascii="Times New Roman" w:hAnsi="Times New Roman" w:eastAsia="楷体" w:cs="Times New Roman"/>
          <w:b/>
          <w:bCs/>
          <w:color w:val="000000"/>
          <w:kern w:val="0"/>
          <w:sz w:val="32"/>
          <w:szCs w:val="32"/>
          <w:lang w:bidi="ar"/>
          <w14:ligatures w14:val="none"/>
        </w:rPr>
        <w:t>（五）区域协同，融合发展。</w:t>
      </w:r>
      <w:r>
        <w:rPr>
          <w:rFonts w:ascii="Times New Roman" w:hAnsi="Times New Roman" w:eastAsia="仿宋_GB2312" w:cs="Times New Roman"/>
          <w:color w:val="000000"/>
          <w:kern w:val="0"/>
          <w:sz w:val="32"/>
          <w:szCs w:val="32"/>
          <w:lang w:bidi="ar"/>
          <w14:ligatures w14:val="none"/>
        </w:rPr>
        <w:t>紧扣汕潮揭都市圈一体化战略，推动医保政策衔接、经办互通、监管联动、资源共享。优化异地就医结算服</w:t>
      </w:r>
      <w:r>
        <w:rPr>
          <w:rFonts w:ascii="Times New Roman" w:hAnsi="Times New Roman" w:eastAsia="仿宋_GB2312" w:cs="Times New Roman"/>
          <w:color w:val="auto"/>
          <w:kern w:val="0"/>
          <w:sz w:val="32"/>
          <w:szCs w:val="32"/>
          <w:lang w:bidi="ar"/>
          <w14:ligatures w14:val="none"/>
        </w:rPr>
        <w:t>务，</w:t>
      </w:r>
      <w:r>
        <w:rPr>
          <w:rFonts w:hint="eastAsia" w:ascii="Times New Roman" w:hAnsi="Times New Roman" w:eastAsia="仿宋_GB2312" w:cs="Times New Roman"/>
          <w:color w:val="auto"/>
          <w:kern w:val="0"/>
          <w:sz w:val="32"/>
          <w:szCs w:val="32"/>
          <w:lang w:bidi="ar"/>
          <w14:ligatures w14:val="none"/>
        </w:rPr>
        <w:t>推动与周边地市医保服务一体化</w:t>
      </w:r>
      <w:r>
        <w:rPr>
          <w:rFonts w:hint="eastAsia" w:ascii="Times New Roman" w:hAnsi="Times New Roman" w:eastAsia="仿宋_GB2312" w:cs="Times New Roman"/>
          <w:color w:val="auto"/>
          <w:kern w:val="0"/>
          <w:sz w:val="32"/>
          <w:szCs w:val="32"/>
          <w:lang w:eastAsia="zh-CN" w:bidi="ar"/>
          <w14:ligatures w14:val="none"/>
        </w:rPr>
        <w:t>，</w:t>
      </w:r>
      <w:r>
        <w:rPr>
          <w:rFonts w:ascii="Times New Roman" w:hAnsi="Times New Roman" w:eastAsia="仿宋_GB2312" w:cs="Times New Roman"/>
          <w:color w:val="auto"/>
          <w:kern w:val="0"/>
          <w:sz w:val="32"/>
          <w:szCs w:val="32"/>
          <w:lang w:bidi="ar"/>
          <w14:ligatures w14:val="none"/>
        </w:rPr>
        <w:t>借力区域发展补齐本地短板</w:t>
      </w:r>
      <w:r>
        <w:rPr>
          <w:rFonts w:hint="eastAsia" w:ascii="Times New Roman" w:hAnsi="Times New Roman" w:eastAsia="仿宋_GB2312"/>
          <w:color w:val="auto"/>
          <w:kern w:val="0"/>
          <w:sz w:val="32"/>
          <w:szCs w:val="32"/>
          <w:lang w:bidi="ar"/>
        </w:rPr>
        <w:t>，实现区域医疗保障协同发展</w:t>
      </w:r>
      <w:r>
        <w:rPr>
          <w:rFonts w:ascii="Times New Roman" w:hAnsi="Times New Roman" w:eastAsia="仿宋_GB2312" w:cs="Times New Roman"/>
          <w:color w:val="000000"/>
          <w:kern w:val="0"/>
          <w:sz w:val="32"/>
          <w:szCs w:val="32"/>
          <w:lang w:bidi="ar"/>
          <w14:ligatures w14:val="none"/>
        </w:rPr>
        <w:t>。</w:t>
      </w:r>
    </w:p>
    <w:p>
      <w:pPr>
        <w:keepNext/>
        <w:keepLines/>
        <w:pageBreakBefore/>
        <w:numPr>
          <w:ilvl w:val="255"/>
          <w:numId w:val="0"/>
        </w:numPr>
        <w:spacing w:before="468" w:beforeLines="150" w:after="468" w:afterLines="150" w:line="240" w:lineRule="auto"/>
        <w:jc w:val="center"/>
        <w:outlineLvl w:val="2"/>
        <w:rPr>
          <w:rFonts w:ascii="Times New Roman" w:hAnsi="Times New Roman" w:eastAsia="黑体" w:cs="Times New Roman"/>
          <w:bCs/>
          <w:sz w:val="32"/>
          <w:szCs w:val="24"/>
          <w14:ligatures w14:val="none"/>
        </w:rPr>
      </w:pPr>
      <w:bookmarkStart w:id="29" w:name="_Toc32178"/>
      <w:bookmarkStart w:id="30" w:name="_Toc7193"/>
      <w:bookmarkStart w:id="31" w:name="_Toc793296825"/>
      <w:bookmarkStart w:id="32" w:name="_Toc13301"/>
      <w:bookmarkStart w:id="33" w:name="_Toc15006"/>
      <w:r>
        <w:rPr>
          <w:rFonts w:ascii="Times New Roman" w:hAnsi="Times New Roman" w:eastAsia="黑体" w:cs="Times New Roman"/>
          <w:bCs/>
          <w:sz w:val="32"/>
          <w:szCs w:val="24"/>
          <w14:ligatures w14:val="none"/>
        </w:rPr>
        <w:t>三、发展目标</w:t>
      </w:r>
      <w:bookmarkEnd w:id="29"/>
      <w:bookmarkEnd w:id="30"/>
      <w:bookmarkEnd w:id="31"/>
      <w:bookmarkEnd w:id="32"/>
      <w:bookmarkEnd w:id="33"/>
    </w:p>
    <w:p>
      <w:pPr>
        <w:widowControl/>
        <w:spacing w:line="240" w:lineRule="atLeast"/>
        <w:ind w:firstLine="640" w:firstLineChars="200"/>
        <w:rPr>
          <w:rFonts w:ascii="Times New Roman" w:hAnsi="Times New Roman" w:eastAsia="仿宋_GB2312" w:cs="Times New Roman"/>
          <w:color w:val="000000"/>
          <w:kern w:val="0"/>
          <w:sz w:val="32"/>
          <w:szCs w:val="32"/>
          <w:lang w:bidi="ar"/>
          <w14:ligatures w14:val="none"/>
        </w:rPr>
      </w:pPr>
      <w:r>
        <w:rPr>
          <w:rFonts w:ascii="Times New Roman" w:hAnsi="Times New Roman" w:eastAsia="仿宋_GB2312" w:cs="Times New Roman"/>
          <w:color w:val="000000"/>
          <w:kern w:val="0"/>
          <w:sz w:val="32"/>
          <w:szCs w:val="32"/>
          <w:lang w:bidi="ar"/>
          <w14:ligatures w14:val="none"/>
        </w:rPr>
        <w:t>到2030年，以基本医疗保险为主体，医疗救助为托底，补充医疗保险、商业健康保险、慈善捐赠、医疗互助、长期护理保险共同发展的多层次医疗保障制度体系全面成熟定型。基本完成待遇保障、筹资运行、医保支付、基金监管等重要机制和医药服务供给、医保管理服务等关键领域的改革任务，医疗保障政策规范化、管理精细化、服务便捷化、改革协同化程度明显提升。基本医疗保障更加公平普惠，各方责任更加均衡，制度间、人群间、区域间差距逐步缩小。基金运行更加稳健持续，全流程智能监控体系全面建成，“三医协同”治理格局基本形成。“15分钟医保服务圈”全面覆盖，数字化智能化服务水平显著提升，异地就医直接结算更加便捷高效。数据要素在管理、决策、风控中的支撑作用充分发挥，形成系统集成、协同高效、数字赋能、法治保障的现代化医保治理体系，与全省先进水平差距持续缩小。</w:t>
      </w:r>
    </w:p>
    <w:p>
      <w:pPr>
        <w:widowControl/>
        <w:spacing w:line="240" w:lineRule="atLeast"/>
        <w:ind w:firstLine="640" w:firstLineChars="200"/>
        <w:rPr>
          <w:rFonts w:ascii="Times New Roman" w:hAnsi="Times New Roman" w:eastAsia="仿宋_GB2312" w:cs="Times New Roman"/>
          <w:color w:val="000000"/>
          <w:kern w:val="0"/>
          <w:sz w:val="32"/>
          <w:szCs w:val="32"/>
          <w:lang w:bidi="ar"/>
          <w14:ligatures w14:val="none"/>
        </w:rPr>
      </w:pPr>
    </w:p>
    <w:p>
      <w:pPr>
        <w:widowControl/>
        <w:spacing w:line="240" w:lineRule="atLeast"/>
        <w:ind w:firstLine="640" w:firstLineChars="200"/>
        <w:jc w:val="left"/>
        <w:rPr>
          <w:rFonts w:ascii="Times New Roman" w:hAnsi="Times New Roman" w:eastAsia="仿宋_GB2312" w:cs="Times New Roman"/>
          <w:color w:val="000000"/>
          <w:kern w:val="0"/>
          <w:sz w:val="32"/>
          <w:szCs w:val="32"/>
          <w:lang w:bidi="ar"/>
          <w14:ligatures w14:val="none"/>
        </w:rPr>
      </w:pPr>
    </w:p>
    <w:p>
      <w:pPr>
        <w:widowControl/>
        <w:spacing w:line="240" w:lineRule="atLeast"/>
        <w:ind w:firstLine="640" w:firstLineChars="200"/>
        <w:jc w:val="left"/>
        <w:rPr>
          <w:rFonts w:ascii="Times New Roman" w:hAnsi="Times New Roman" w:eastAsia="仿宋_GB2312" w:cs="Times New Roman"/>
          <w:color w:val="000000"/>
          <w:kern w:val="0"/>
          <w:sz w:val="32"/>
          <w:szCs w:val="32"/>
          <w:lang w:bidi="ar"/>
          <w14:ligatures w14:val="none"/>
        </w:rPr>
      </w:pPr>
    </w:p>
    <w:p>
      <w:pPr>
        <w:widowControl/>
        <w:spacing w:line="240" w:lineRule="atLeast"/>
        <w:ind w:firstLine="640" w:firstLineChars="200"/>
        <w:jc w:val="left"/>
        <w:rPr>
          <w:rFonts w:hint="eastAsia" w:ascii="Times New Roman" w:hAnsi="Times New Roman" w:eastAsia="仿宋_GB2312" w:cs="Times New Roman"/>
          <w:color w:val="000000"/>
          <w:kern w:val="0"/>
          <w:sz w:val="32"/>
          <w:szCs w:val="32"/>
          <w:lang w:bidi="ar"/>
          <w14:ligatures w14:val="none"/>
        </w:rPr>
      </w:pPr>
    </w:p>
    <w:tbl>
      <w:tblPr>
        <w:tblStyle w:val="15"/>
        <w:tblW w:w="8140" w:type="dxa"/>
        <w:tblInd w:w="98" w:type="dxa"/>
        <w:tblLayout w:type="fixed"/>
        <w:tblCellMar>
          <w:top w:w="0" w:type="dxa"/>
          <w:left w:w="108" w:type="dxa"/>
          <w:bottom w:w="0" w:type="dxa"/>
          <w:right w:w="108" w:type="dxa"/>
        </w:tblCellMar>
      </w:tblPr>
      <w:tblGrid>
        <w:gridCol w:w="798"/>
        <w:gridCol w:w="1192"/>
        <w:gridCol w:w="2382"/>
        <w:gridCol w:w="1646"/>
        <w:gridCol w:w="2122"/>
      </w:tblGrid>
      <w:tr>
        <w:tblPrEx>
          <w:tblLayout w:type="fixed"/>
          <w:tblCellMar>
            <w:top w:w="0" w:type="dxa"/>
            <w:left w:w="108" w:type="dxa"/>
            <w:bottom w:w="0" w:type="dxa"/>
            <w:right w:w="108" w:type="dxa"/>
          </w:tblCellMar>
        </w:tblPrEx>
        <w:trPr>
          <w:trHeight w:val="495" w:hRule="atLeast"/>
        </w:trPr>
        <w:tc>
          <w:tcPr>
            <w:tcW w:w="8140" w:type="dxa"/>
            <w:gridSpan w:val="5"/>
            <w:tcBorders>
              <w:top w:val="single" w:color="auto" w:sz="4" w:space="0"/>
              <w:left w:val="single" w:color="auto" w:sz="4" w:space="0"/>
              <w:bottom w:val="single" w:color="auto" w:sz="4" w:space="0"/>
              <w:right w:val="single" w:color="auto" w:sz="4" w:space="0"/>
            </w:tcBorders>
            <w:noWrap/>
            <w:vAlign w:val="center"/>
          </w:tcPr>
          <w:p>
            <w:pPr>
              <w:widowControl/>
              <w:spacing w:line="240" w:lineRule="auto"/>
              <w:jc w:val="center"/>
              <w:textAlignment w:val="bottom"/>
              <w:rPr>
                <w:rFonts w:ascii="Times New Roman" w:hAnsi="Times New Roman" w:eastAsia="黑体" w:cs="黑体"/>
                <w:color w:val="000000"/>
                <w:sz w:val="21"/>
                <w:szCs w:val="21"/>
                <w14:ligatures w14:val="none"/>
              </w:rPr>
            </w:pPr>
            <w:r>
              <w:rPr>
                <w:rFonts w:ascii="Times New Roman" w:hAnsi="Times New Roman" w:eastAsia="黑体" w:cs="黑体"/>
                <w:b/>
                <w:bCs/>
                <w:color w:val="000000"/>
                <w:kern w:val="0"/>
                <w:sz w:val="21"/>
                <w:szCs w:val="21"/>
                <w:lang w:bidi="ar"/>
                <w14:ligatures w14:val="none"/>
              </w:rPr>
              <w:t>“十五五”时期潮州市医疗保障发展主要指标</w:t>
            </w:r>
          </w:p>
        </w:tc>
      </w:tr>
      <w:tr>
        <w:tblPrEx>
          <w:tblLayout w:type="fixed"/>
          <w:tblCellMar>
            <w:top w:w="0" w:type="dxa"/>
            <w:left w:w="108" w:type="dxa"/>
            <w:bottom w:w="0" w:type="dxa"/>
            <w:right w:w="108" w:type="dxa"/>
          </w:tblCellMar>
        </w:tblPrEx>
        <w:trPr>
          <w:trHeight w:val="485" w:hRule="atLeast"/>
        </w:trPr>
        <w:tc>
          <w:tcPr>
            <w:tcW w:w="798" w:type="dxa"/>
            <w:tcBorders>
              <w:top w:val="single" w:color="auto" w:sz="4" w:space="0"/>
              <w:left w:val="single" w:color="000000" w:sz="4" w:space="0"/>
              <w:bottom w:val="single" w:color="000000" w:sz="4" w:space="0"/>
              <w:right w:val="single" w:color="000000" w:sz="4" w:space="0"/>
            </w:tcBorders>
            <w:noWrap/>
            <w:vAlign w:val="center"/>
          </w:tcPr>
          <w:p>
            <w:pPr>
              <w:widowControl/>
              <w:spacing w:line="240" w:lineRule="auto"/>
              <w:jc w:val="center"/>
              <w:textAlignment w:val="center"/>
              <w:rPr>
                <w:rFonts w:ascii="Times New Roman" w:hAnsi="Times New Roman" w:eastAsia="黑体" w:cs="黑体"/>
                <w:color w:val="000000"/>
                <w:sz w:val="21"/>
                <w:szCs w:val="21"/>
                <w14:ligatures w14:val="none"/>
              </w:rPr>
            </w:pPr>
            <w:r>
              <w:rPr>
                <w:rFonts w:ascii="Times New Roman" w:hAnsi="Times New Roman" w:eastAsia="黑体" w:cs="黑体"/>
                <w:color w:val="000000"/>
                <w:kern w:val="0"/>
                <w:sz w:val="21"/>
                <w:szCs w:val="21"/>
                <w:lang w:bidi="ar"/>
                <w14:ligatures w14:val="none"/>
              </w:rPr>
              <w:t>序号</w:t>
            </w:r>
          </w:p>
        </w:tc>
        <w:tc>
          <w:tcPr>
            <w:tcW w:w="1192" w:type="dxa"/>
            <w:tcBorders>
              <w:top w:val="single" w:color="auto" w:sz="4" w:space="0"/>
              <w:left w:val="single" w:color="000000" w:sz="4" w:space="0"/>
              <w:bottom w:val="single" w:color="000000" w:sz="4" w:space="0"/>
              <w:right w:val="single" w:color="000000" w:sz="4" w:space="0"/>
            </w:tcBorders>
            <w:noWrap/>
            <w:vAlign w:val="center"/>
          </w:tcPr>
          <w:p>
            <w:pPr>
              <w:widowControl/>
              <w:spacing w:line="240" w:lineRule="auto"/>
              <w:jc w:val="center"/>
              <w:textAlignment w:val="center"/>
              <w:rPr>
                <w:rFonts w:ascii="Times New Roman" w:hAnsi="Times New Roman" w:eastAsia="黑体" w:cs="黑体"/>
                <w:color w:val="000000"/>
                <w:sz w:val="21"/>
                <w:szCs w:val="21"/>
                <w14:ligatures w14:val="none"/>
              </w:rPr>
            </w:pPr>
            <w:r>
              <w:rPr>
                <w:rFonts w:ascii="Times New Roman" w:hAnsi="Times New Roman" w:eastAsia="黑体" w:cs="黑体"/>
                <w:color w:val="000000"/>
                <w:kern w:val="0"/>
                <w:sz w:val="21"/>
                <w:szCs w:val="21"/>
                <w:lang w:bidi="ar"/>
                <w14:ligatures w14:val="none"/>
              </w:rPr>
              <w:t>类别</w:t>
            </w:r>
          </w:p>
        </w:tc>
        <w:tc>
          <w:tcPr>
            <w:tcW w:w="2382" w:type="dxa"/>
            <w:tcBorders>
              <w:top w:val="single" w:color="auto"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ascii="Times New Roman" w:hAnsi="Times New Roman" w:eastAsia="黑体" w:cs="黑体"/>
                <w:color w:val="000000"/>
                <w:sz w:val="21"/>
                <w:szCs w:val="21"/>
                <w14:ligatures w14:val="none"/>
              </w:rPr>
            </w:pPr>
            <w:r>
              <w:rPr>
                <w:rFonts w:ascii="Times New Roman" w:hAnsi="Times New Roman" w:eastAsia="黑体" w:cs="黑体"/>
                <w:color w:val="000000"/>
                <w:kern w:val="0"/>
                <w:sz w:val="21"/>
                <w:szCs w:val="21"/>
                <w:lang w:bidi="ar"/>
                <w14:ligatures w14:val="none"/>
              </w:rPr>
              <w:t>主要指标</w:t>
            </w:r>
          </w:p>
        </w:tc>
        <w:tc>
          <w:tcPr>
            <w:tcW w:w="1646" w:type="dxa"/>
            <w:tcBorders>
              <w:top w:val="single" w:color="auto" w:sz="4" w:space="0"/>
              <w:left w:val="single" w:color="000000" w:sz="4" w:space="0"/>
              <w:bottom w:val="single" w:color="000000" w:sz="4" w:space="0"/>
              <w:right w:val="single" w:color="000000" w:sz="4" w:space="0"/>
            </w:tcBorders>
            <w:noWrap/>
            <w:vAlign w:val="center"/>
          </w:tcPr>
          <w:p>
            <w:pPr>
              <w:widowControl/>
              <w:spacing w:line="240" w:lineRule="auto"/>
              <w:jc w:val="center"/>
              <w:textAlignment w:val="center"/>
              <w:rPr>
                <w:rFonts w:ascii="Times New Roman" w:hAnsi="Times New Roman" w:eastAsia="黑体" w:cs="黑体"/>
                <w:color w:val="000000"/>
                <w:sz w:val="21"/>
                <w:szCs w:val="21"/>
                <w14:ligatures w14:val="none"/>
              </w:rPr>
            </w:pPr>
            <w:r>
              <w:rPr>
                <w:rFonts w:ascii="Times New Roman" w:hAnsi="Times New Roman" w:eastAsia="黑体" w:cs="黑体"/>
                <w:color w:val="000000"/>
                <w:kern w:val="0"/>
                <w:sz w:val="21"/>
                <w:szCs w:val="21"/>
                <w:lang w:bidi="ar"/>
                <w14:ligatures w14:val="none"/>
              </w:rPr>
              <w:t>2025年现状</w:t>
            </w:r>
          </w:p>
        </w:tc>
        <w:tc>
          <w:tcPr>
            <w:tcW w:w="2122" w:type="dxa"/>
            <w:tcBorders>
              <w:top w:val="single" w:color="auto" w:sz="4" w:space="0"/>
              <w:left w:val="single" w:color="000000" w:sz="4" w:space="0"/>
              <w:bottom w:val="single" w:color="000000" w:sz="4" w:space="0"/>
              <w:right w:val="single" w:color="000000" w:sz="4" w:space="0"/>
            </w:tcBorders>
            <w:noWrap/>
            <w:vAlign w:val="center"/>
          </w:tcPr>
          <w:p>
            <w:pPr>
              <w:widowControl/>
              <w:spacing w:line="240" w:lineRule="auto"/>
              <w:jc w:val="center"/>
              <w:textAlignment w:val="center"/>
              <w:rPr>
                <w:rFonts w:ascii="Times New Roman" w:hAnsi="Times New Roman" w:eastAsia="黑体" w:cs="黑体"/>
                <w:color w:val="000000"/>
                <w:sz w:val="21"/>
                <w:szCs w:val="21"/>
                <w14:ligatures w14:val="none"/>
              </w:rPr>
            </w:pPr>
            <w:r>
              <w:rPr>
                <w:rFonts w:ascii="Times New Roman" w:hAnsi="Times New Roman" w:eastAsia="黑体" w:cs="黑体"/>
                <w:color w:val="000000"/>
                <w:kern w:val="0"/>
                <w:sz w:val="21"/>
                <w:szCs w:val="21"/>
                <w:lang w:bidi="ar"/>
                <w14:ligatures w14:val="none"/>
              </w:rPr>
              <w:t>2030年目标</w:t>
            </w:r>
          </w:p>
        </w:tc>
      </w:tr>
      <w:tr>
        <w:tblPrEx>
          <w:tblLayout w:type="fixed"/>
          <w:tblCellMar>
            <w:top w:w="0" w:type="dxa"/>
            <w:left w:w="108" w:type="dxa"/>
            <w:bottom w:w="0" w:type="dxa"/>
            <w:right w:w="108" w:type="dxa"/>
          </w:tblCellMar>
        </w:tblPrEx>
        <w:trPr>
          <w:trHeight w:val="300" w:hRule="atLeast"/>
        </w:trPr>
        <w:tc>
          <w:tcPr>
            <w:tcW w:w="798" w:type="dxa"/>
            <w:tcBorders>
              <w:top w:val="single" w:color="000000" w:sz="4" w:space="0"/>
              <w:left w:val="single" w:color="000000" w:sz="4" w:space="0"/>
              <w:bottom w:val="single" w:color="000000" w:sz="4" w:space="0"/>
              <w:right w:val="single" w:color="000000" w:sz="4" w:space="0"/>
            </w:tcBorders>
            <w:noWrap/>
            <w:vAlign w:val="center"/>
          </w:tcPr>
          <w:p>
            <w:pPr>
              <w:widowControl/>
              <w:spacing w:line="240" w:lineRule="auto"/>
              <w:jc w:val="center"/>
              <w:textAlignment w:val="center"/>
              <w:rPr>
                <w:rFonts w:ascii="仿宋_GB2312" w:hAnsi="仿宋_GB2312" w:eastAsia="仿宋_GB2312" w:cs="仿宋_GB2312"/>
                <w:color w:val="000000"/>
                <w:sz w:val="21"/>
                <w:szCs w:val="21"/>
                <w14:ligatures w14:val="none"/>
              </w:rPr>
            </w:pPr>
            <w:r>
              <w:rPr>
                <w:rFonts w:ascii="仿宋_GB2312" w:hAnsi="仿宋_GB2312" w:eastAsia="仿宋_GB2312" w:cs="仿宋_GB2312"/>
                <w:color w:val="000000"/>
                <w:kern w:val="0"/>
                <w:sz w:val="21"/>
                <w:szCs w:val="21"/>
                <w:lang w:bidi="ar"/>
                <w14:ligatures w14:val="none"/>
              </w:rPr>
              <w:t>1</w:t>
            </w:r>
          </w:p>
        </w:tc>
        <w:tc>
          <w:tcPr>
            <w:tcW w:w="1192" w:type="dxa"/>
            <w:vMerge w:val="restart"/>
            <w:tcBorders>
              <w:top w:val="single" w:color="000000" w:sz="4" w:space="0"/>
              <w:left w:val="single" w:color="000000" w:sz="4" w:space="0"/>
              <w:right w:val="single" w:color="000000" w:sz="4" w:space="0"/>
            </w:tcBorders>
            <w:noWrap/>
            <w:vAlign w:val="center"/>
          </w:tcPr>
          <w:p>
            <w:pPr>
              <w:widowControl/>
              <w:spacing w:line="240" w:lineRule="auto"/>
              <w:jc w:val="center"/>
              <w:textAlignment w:val="center"/>
              <w:rPr>
                <w:rFonts w:ascii="仿宋_GB2312" w:hAnsi="仿宋_GB2312" w:eastAsia="仿宋_GB2312" w:cs="仿宋_GB2312"/>
                <w:color w:val="000000"/>
                <w:sz w:val="21"/>
                <w:szCs w:val="21"/>
                <w14:ligatures w14:val="none"/>
              </w:rPr>
            </w:pPr>
            <w:r>
              <w:rPr>
                <w:rFonts w:ascii="仿宋_GB2312" w:hAnsi="仿宋_GB2312" w:eastAsia="仿宋_GB2312" w:cs="仿宋_GB2312"/>
                <w:color w:val="000000"/>
                <w:kern w:val="0"/>
                <w:sz w:val="21"/>
                <w:szCs w:val="21"/>
                <w:lang w:bidi="ar"/>
                <w14:ligatures w14:val="none"/>
              </w:rPr>
              <w:t>参保覆盖</w:t>
            </w:r>
          </w:p>
        </w:tc>
        <w:tc>
          <w:tcPr>
            <w:tcW w:w="2382" w:type="dxa"/>
            <w:tcBorders>
              <w:top w:val="single" w:color="000000" w:sz="4" w:space="0"/>
              <w:left w:val="nil"/>
              <w:bottom w:val="single" w:color="000000" w:sz="4" w:space="0"/>
              <w:right w:val="single" w:color="000000" w:sz="4" w:space="0"/>
            </w:tcBorders>
            <w:vAlign w:val="center"/>
          </w:tcPr>
          <w:p>
            <w:pPr>
              <w:widowControl/>
              <w:spacing w:line="240" w:lineRule="auto"/>
              <w:jc w:val="left"/>
              <w:textAlignment w:val="center"/>
              <w:rPr>
                <w:rFonts w:ascii="仿宋_GB2312" w:hAnsi="仿宋_GB2312" w:eastAsia="仿宋_GB2312" w:cs="仿宋_GB2312"/>
                <w:color w:val="000000"/>
                <w:sz w:val="21"/>
                <w:szCs w:val="21"/>
                <w14:ligatures w14:val="none"/>
              </w:rPr>
            </w:pPr>
            <w:r>
              <w:rPr>
                <w:rFonts w:ascii="仿宋_GB2312" w:hAnsi="仿宋_GB2312" w:eastAsia="仿宋_GB2312" w:cs="仿宋_GB2312"/>
                <w:color w:val="000000"/>
                <w:kern w:val="0"/>
                <w:sz w:val="21"/>
                <w:szCs w:val="21"/>
                <w:lang w:bidi="ar"/>
                <w14:ligatures w14:val="none"/>
              </w:rPr>
              <w:t>基本医疗保险参保率</w:t>
            </w:r>
          </w:p>
        </w:tc>
        <w:tc>
          <w:tcPr>
            <w:tcW w:w="1646"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left"/>
              <w:textAlignment w:val="center"/>
              <w:rPr>
                <w:rFonts w:ascii="仿宋_GB2312" w:hAnsi="仿宋_GB2312" w:eastAsia="仿宋_GB2312" w:cs="仿宋_GB2312"/>
                <w:color w:val="000000"/>
                <w:sz w:val="21"/>
                <w:szCs w:val="21"/>
                <w14:ligatures w14:val="none"/>
              </w:rPr>
            </w:pPr>
            <w:r>
              <w:rPr>
                <w:rFonts w:ascii="仿宋_GB2312" w:hAnsi="仿宋_GB2312" w:eastAsia="仿宋_GB2312" w:cs="仿宋_GB2312"/>
                <w:color w:val="000000"/>
                <w:kern w:val="0"/>
                <w:sz w:val="21"/>
                <w:szCs w:val="21"/>
                <w:lang w:bidi="ar"/>
                <w14:ligatures w14:val="none"/>
              </w:rPr>
              <w:t>95%左右</w:t>
            </w:r>
          </w:p>
        </w:tc>
        <w:tc>
          <w:tcPr>
            <w:tcW w:w="2122"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left"/>
              <w:textAlignment w:val="center"/>
              <w:rPr>
                <w:rFonts w:ascii="仿宋_GB2312" w:hAnsi="仿宋_GB2312" w:eastAsia="仿宋_GB2312" w:cs="仿宋_GB2312"/>
                <w:color w:val="000000"/>
                <w:sz w:val="21"/>
                <w:szCs w:val="21"/>
                <w14:ligatures w14:val="none"/>
              </w:rPr>
            </w:pPr>
            <w:r>
              <w:rPr>
                <w:rFonts w:ascii="仿宋_GB2312" w:hAnsi="仿宋_GB2312" w:eastAsia="仿宋_GB2312" w:cs="仿宋_GB2312"/>
                <w:color w:val="000000"/>
                <w:kern w:val="0"/>
                <w:sz w:val="21"/>
                <w:szCs w:val="21"/>
                <w:lang w:bidi="ar"/>
                <w14:ligatures w14:val="none"/>
              </w:rPr>
              <w:t>95%左右</w:t>
            </w:r>
          </w:p>
        </w:tc>
      </w:tr>
      <w:tr>
        <w:tblPrEx>
          <w:tblLayout w:type="fixed"/>
          <w:tblCellMar>
            <w:top w:w="0" w:type="dxa"/>
            <w:left w:w="108" w:type="dxa"/>
            <w:bottom w:w="0" w:type="dxa"/>
            <w:right w:w="108" w:type="dxa"/>
          </w:tblCellMar>
        </w:tblPrEx>
        <w:trPr>
          <w:trHeight w:val="840" w:hRule="atLeast"/>
        </w:trPr>
        <w:tc>
          <w:tcPr>
            <w:tcW w:w="798" w:type="dxa"/>
            <w:tcBorders>
              <w:top w:val="single" w:color="000000" w:sz="4" w:space="0"/>
              <w:left w:val="single" w:color="000000" w:sz="4" w:space="0"/>
              <w:bottom w:val="single" w:color="000000" w:sz="4" w:space="0"/>
              <w:right w:val="single" w:color="000000" w:sz="4" w:space="0"/>
            </w:tcBorders>
            <w:noWrap/>
            <w:vAlign w:val="center"/>
          </w:tcPr>
          <w:p>
            <w:pPr>
              <w:widowControl/>
              <w:spacing w:line="240" w:lineRule="auto"/>
              <w:jc w:val="center"/>
              <w:textAlignment w:val="center"/>
              <w:rPr>
                <w:rFonts w:ascii="仿宋_GB2312" w:hAnsi="仿宋_GB2312" w:eastAsia="仿宋_GB2312" w:cs="仿宋_GB2312"/>
                <w:color w:val="000000"/>
                <w:sz w:val="21"/>
                <w:szCs w:val="21"/>
                <w14:ligatures w14:val="none"/>
              </w:rPr>
            </w:pPr>
            <w:r>
              <w:rPr>
                <w:rFonts w:ascii="仿宋_GB2312" w:hAnsi="仿宋_GB2312" w:eastAsia="仿宋_GB2312" w:cs="仿宋_GB2312"/>
                <w:color w:val="000000"/>
                <w:kern w:val="0"/>
                <w:sz w:val="21"/>
                <w:szCs w:val="21"/>
                <w:lang w:bidi="ar"/>
                <w14:ligatures w14:val="none"/>
              </w:rPr>
              <w:t>2</w:t>
            </w:r>
          </w:p>
        </w:tc>
        <w:tc>
          <w:tcPr>
            <w:tcW w:w="1192" w:type="dxa"/>
            <w:vMerge w:val="continue"/>
            <w:tcBorders>
              <w:left w:val="single" w:color="000000" w:sz="4" w:space="0"/>
              <w:right w:val="single" w:color="000000" w:sz="4" w:space="0"/>
            </w:tcBorders>
            <w:noWrap/>
            <w:vAlign w:val="center"/>
          </w:tcPr>
          <w:p>
            <w:pPr>
              <w:spacing w:line="240" w:lineRule="auto"/>
              <w:jc w:val="center"/>
              <w:rPr>
                <w:rFonts w:ascii="仿宋_GB2312" w:hAnsi="仿宋_GB2312" w:eastAsia="仿宋_GB2312" w:cs="仿宋_GB2312"/>
                <w:color w:val="000000"/>
                <w:sz w:val="21"/>
                <w:szCs w:val="21"/>
                <w14:ligatures w14:val="none"/>
              </w:rPr>
            </w:pPr>
          </w:p>
        </w:tc>
        <w:tc>
          <w:tcPr>
            <w:tcW w:w="2382" w:type="dxa"/>
            <w:tcBorders>
              <w:top w:val="single" w:color="000000" w:sz="4" w:space="0"/>
              <w:left w:val="nil"/>
              <w:bottom w:val="single" w:color="000000" w:sz="4" w:space="0"/>
              <w:right w:val="single" w:color="000000" w:sz="4" w:space="0"/>
            </w:tcBorders>
            <w:vAlign w:val="center"/>
          </w:tcPr>
          <w:p>
            <w:pPr>
              <w:widowControl/>
              <w:spacing w:line="240" w:lineRule="auto"/>
              <w:jc w:val="left"/>
              <w:textAlignment w:val="center"/>
              <w:rPr>
                <w:rFonts w:ascii="仿宋_GB2312" w:hAnsi="仿宋_GB2312" w:eastAsia="仿宋_GB2312" w:cs="仿宋_GB2312"/>
                <w:color w:val="000000"/>
                <w:sz w:val="21"/>
                <w:szCs w:val="21"/>
                <w14:ligatures w14:val="none"/>
              </w:rPr>
            </w:pPr>
            <w:r>
              <w:rPr>
                <w:rFonts w:ascii="仿宋_GB2312" w:hAnsi="仿宋_GB2312" w:eastAsia="仿宋_GB2312" w:cs="仿宋_GB2312"/>
                <w:color w:val="000000"/>
                <w:kern w:val="0"/>
                <w:sz w:val="21"/>
                <w:szCs w:val="21"/>
                <w:lang w:bidi="ar"/>
                <w14:ligatures w14:val="none"/>
              </w:rPr>
              <w:t>职工基本医保参保人数占基本医疗保险参保总人数比例</w:t>
            </w:r>
          </w:p>
        </w:tc>
        <w:tc>
          <w:tcPr>
            <w:tcW w:w="1646" w:type="dxa"/>
            <w:tcBorders>
              <w:top w:val="single" w:color="000000" w:sz="4" w:space="0"/>
              <w:left w:val="single" w:color="000000" w:sz="4" w:space="0"/>
              <w:bottom w:val="single" w:color="000000" w:sz="4" w:space="0"/>
              <w:right w:val="single" w:color="000000" w:sz="4" w:space="0"/>
            </w:tcBorders>
            <w:vAlign w:val="center"/>
          </w:tcPr>
          <w:p>
            <w:pPr>
              <w:spacing w:line="240" w:lineRule="auto"/>
              <w:jc w:val="left"/>
              <w:rPr>
                <w:rFonts w:ascii="仿宋_GB2312" w:hAnsi="仿宋_GB2312" w:eastAsia="仿宋_GB2312" w:cs="仿宋_GB2312"/>
                <w:color w:val="000000"/>
                <w:sz w:val="21"/>
                <w:szCs w:val="21"/>
                <w14:ligatures w14:val="none"/>
              </w:rPr>
            </w:pPr>
            <w:r>
              <w:rPr>
                <w:rFonts w:ascii="仿宋_GB2312" w:hAnsi="仿宋_GB2312" w:eastAsia="仿宋_GB2312" w:cs="仿宋_GB2312"/>
                <w:color w:val="000000"/>
                <w:sz w:val="21"/>
                <w:szCs w:val="21"/>
                <w14:ligatures w14:val="none"/>
              </w:rPr>
              <w:t>14.84%</w:t>
            </w:r>
          </w:p>
        </w:tc>
        <w:tc>
          <w:tcPr>
            <w:tcW w:w="2122"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left"/>
              <w:textAlignment w:val="center"/>
              <w:rPr>
                <w:rFonts w:ascii="仿宋_GB2312" w:hAnsi="仿宋_GB2312" w:eastAsia="仿宋_GB2312" w:cs="仿宋_GB2312"/>
                <w:color w:val="000000"/>
                <w:sz w:val="21"/>
                <w:szCs w:val="21"/>
                <w14:ligatures w14:val="none"/>
              </w:rPr>
            </w:pPr>
            <w:r>
              <w:rPr>
                <w:rFonts w:ascii="仿宋_GB2312" w:hAnsi="仿宋_GB2312" w:eastAsia="仿宋_GB2312" w:cs="仿宋_GB2312"/>
                <w:color w:val="000000"/>
                <w:kern w:val="0"/>
                <w:sz w:val="21"/>
                <w:szCs w:val="21"/>
                <w:lang w:bidi="ar"/>
                <w14:ligatures w14:val="none"/>
              </w:rPr>
              <w:t>有所提升</w:t>
            </w:r>
          </w:p>
        </w:tc>
      </w:tr>
      <w:tr>
        <w:tblPrEx>
          <w:tblLayout w:type="fixed"/>
          <w:tblCellMar>
            <w:top w:w="0" w:type="dxa"/>
            <w:left w:w="108" w:type="dxa"/>
            <w:bottom w:w="0" w:type="dxa"/>
            <w:right w:w="108" w:type="dxa"/>
          </w:tblCellMar>
        </w:tblPrEx>
        <w:trPr>
          <w:trHeight w:val="560" w:hRule="atLeast"/>
        </w:trPr>
        <w:tc>
          <w:tcPr>
            <w:tcW w:w="798" w:type="dxa"/>
            <w:tcBorders>
              <w:top w:val="single" w:color="000000" w:sz="4" w:space="0"/>
              <w:left w:val="single" w:color="000000" w:sz="4" w:space="0"/>
              <w:bottom w:val="single" w:color="000000" w:sz="4" w:space="0"/>
              <w:right w:val="single" w:color="000000" w:sz="4" w:space="0"/>
            </w:tcBorders>
            <w:noWrap/>
            <w:vAlign w:val="center"/>
          </w:tcPr>
          <w:p>
            <w:pPr>
              <w:widowControl/>
              <w:spacing w:line="240" w:lineRule="auto"/>
              <w:jc w:val="center"/>
              <w:textAlignment w:val="center"/>
              <w:rPr>
                <w:rFonts w:ascii="仿宋_GB2312" w:hAnsi="仿宋_GB2312" w:eastAsia="仿宋_GB2312" w:cs="仿宋_GB2312"/>
                <w:color w:val="000000"/>
                <w:sz w:val="21"/>
                <w:szCs w:val="21"/>
                <w14:ligatures w14:val="none"/>
              </w:rPr>
            </w:pPr>
            <w:r>
              <w:rPr>
                <w:rFonts w:ascii="仿宋_GB2312" w:hAnsi="仿宋_GB2312" w:eastAsia="仿宋_GB2312" w:cs="仿宋_GB2312"/>
                <w:color w:val="000000"/>
                <w:kern w:val="0"/>
                <w:sz w:val="21"/>
                <w:szCs w:val="21"/>
                <w:lang w:bidi="ar"/>
                <w14:ligatures w14:val="none"/>
              </w:rPr>
              <w:t>3</w:t>
            </w:r>
          </w:p>
        </w:tc>
        <w:tc>
          <w:tcPr>
            <w:tcW w:w="1192" w:type="dxa"/>
            <w:vMerge w:val="continue"/>
            <w:tcBorders>
              <w:left w:val="single" w:color="000000" w:sz="4" w:space="0"/>
              <w:bottom w:val="single" w:color="000000" w:sz="4" w:space="0"/>
              <w:right w:val="single" w:color="000000" w:sz="4" w:space="0"/>
            </w:tcBorders>
            <w:noWrap/>
            <w:vAlign w:val="center"/>
          </w:tcPr>
          <w:p>
            <w:pPr>
              <w:spacing w:line="240" w:lineRule="auto"/>
              <w:jc w:val="center"/>
              <w:rPr>
                <w:rFonts w:ascii="仿宋_GB2312" w:hAnsi="仿宋_GB2312" w:eastAsia="仿宋_GB2312" w:cs="仿宋_GB2312"/>
                <w:color w:val="000000"/>
                <w:sz w:val="21"/>
                <w:szCs w:val="21"/>
                <w14:ligatures w14:val="none"/>
              </w:rPr>
            </w:pPr>
          </w:p>
        </w:tc>
        <w:tc>
          <w:tcPr>
            <w:tcW w:w="2382" w:type="dxa"/>
            <w:tcBorders>
              <w:top w:val="single" w:color="000000" w:sz="4" w:space="0"/>
              <w:left w:val="nil"/>
              <w:bottom w:val="single" w:color="000000" w:sz="4" w:space="0"/>
              <w:right w:val="single" w:color="000000" w:sz="4" w:space="0"/>
            </w:tcBorders>
            <w:vAlign w:val="center"/>
          </w:tcPr>
          <w:p>
            <w:pPr>
              <w:widowControl/>
              <w:spacing w:line="240" w:lineRule="auto"/>
              <w:jc w:val="left"/>
              <w:textAlignment w:val="center"/>
              <w:rPr>
                <w:rFonts w:ascii="仿宋_GB2312" w:hAnsi="仿宋_GB2312" w:eastAsia="仿宋_GB2312" w:cs="仿宋_GB2312"/>
                <w:color w:val="000000"/>
                <w:sz w:val="21"/>
                <w:szCs w:val="21"/>
                <w14:ligatures w14:val="none"/>
              </w:rPr>
            </w:pPr>
            <w:r>
              <w:rPr>
                <w:rFonts w:ascii="仿宋_GB2312" w:hAnsi="仿宋_GB2312" w:eastAsia="仿宋_GB2312" w:cs="仿宋_GB2312"/>
                <w:color w:val="000000"/>
                <w:kern w:val="0"/>
                <w:sz w:val="21"/>
                <w:szCs w:val="21"/>
                <w:lang w:bidi="ar"/>
                <w14:ligatures w14:val="none"/>
              </w:rPr>
              <w:t>开展长期护理保险县区数量（个）</w:t>
            </w:r>
          </w:p>
        </w:tc>
        <w:tc>
          <w:tcPr>
            <w:tcW w:w="1646" w:type="dxa"/>
            <w:tcBorders>
              <w:top w:val="single" w:color="000000" w:sz="4" w:space="0"/>
              <w:left w:val="single" w:color="000000" w:sz="4" w:space="0"/>
              <w:bottom w:val="single" w:color="000000" w:sz="4" w:space="0"/>
              <w:right w:val="single" w:color="000000" w:sz="4" w:space="0"/>
            </w:tcBorders>
            <w:vAlign w:val="center"/>
          </w:tcPr>
          <w:p>
            <w:pPr>
              <w:spacing w:line="240" w:lineRule="auto"/>
              <w:jc w:val="left"/>
              <w:rPr>
                <w:rFonts w:ascii="仿宋_GB2312" w:hAnsi="仿宋_GB2312" w:eastAsia="仿宋_GB2312" w:cs="仿宋_GB2312"/>
                <w:color w:val="000000"/>
                <w:sz w:val="21"/>
                <w:szCs w:val="21"/>
                <w14:ligatures w14:val="none"/>
              </w:rPr>
            </w:pPr>
            <w:r>
              <w:rPr>
                <w:rFonts w:ascii="仿宋_GB2312" w:hAnsi="仿宋_GB2312" w:eastAsia="仿宋_GB2312" w:cs="仿宋_GB2312"/>
                <w:color w:val="000000"/>
                <w:sz w:val="21"/>
                <w:szCs w:val="21"/>
                <w14:ligatures w14:val="none"/>
              </w:rPr>
              <w:t>——</w:t>
            </w:r>
          </w:p>
        </w:tc>
        <w:tc>
          <w:tcPr>
            <w:tcW w:w="2122" w:type="dxa"/>
            <w:tcBorders>
              <w:top w:val="single" w:color="000000" w:sz="4" w:space="0"/>
              <w:left w:val="single" w:color="000000" w:sz="4" w:space="0"/>
              <w:bottom w:val="single" w:color="000000" w:sz="4" w:space="0"/>
              <w:right w:val="single" w:color="000000" w:sz="4" w:space="0"/>
            </w:tcBorders>
            <w:vAlign w:val="center"/>
          </w:tcPr>
          <w:p>
            <w:pPr>
              <w:spacing w:line="240" w:lineRule="auto"/>
              <w:jc w:val="left"/>
              <w:rPr>
                <w:rFonts w:ascii="仿宋_GB2312" w:hAnsi="仿宋_GB2312" w:eastAsia="仿宋_GB2312" w:cs="仿宋_GB2312"/>
                <w:color w:val="000000"/>
                <w:sz w:val="21"/>
                <w:szCs w:val="21"/>
                <w14:ligatures w14:val="none"/>
              </w:rPr>
            </w:pPr>
            <w:r>
              <w:rPr>
                <w:rFonts w:ascii="仿宋_GB2312" w:hAnsi="仿宋_GB2312" w:eastAsia="仿宋_GB2312" w:cs="仿宋_GB2312"/>
                <w:color w:val="000000"/>
                <w:sz w:val="21"/>
                <w:szCs w:val="21"/>
                <w14:ligatures w14:val="none"/>
              </w:rPr>
              <w:t>覆盖所有县区</w:t>
            </w:r>
          </w:p>
        </w:tc>
      </w:tr>
      <w:tr>
        <w:tblPrEx>
          <w:tblLayout w:type="fixed"/>
          <w:tblCellMar>
            <w:top w:w="0" w:type="dxa"/>
            <w:left w:w="108" w:type="dxa"/>
            <w:bottom w:w="0" w:type="dxa"/>
            <w:right w:w="108" w:type="dxa"/>
          </w:tblCellMar>
        </w:tblPrEx>
        <w:trPr>
          <w:trHeight w:val="840" w:hRule="atLeast"/>
        </w:trPr>
        <w:tc>
          <w:tcPr>
            <w:tcW w:w="798" w:type="dxa"/>
            <w:tcBorders>
              <w:top w:val="single" w:color="000000" w:sz="4" w:space="0"/>
              <w:left w:val="single" w:color="000000" w:sz="4" w:space="0"/>
              <w:bottom w:val="single" w:color="000000" w:sz="4" w:space="0"/>
              <w:right w:val="single" w:color="000000" w:sz="4" w:space="0"/>
            </w:tcBorders>
            <w:noWrap/>
            <w:vAlign w:val="center"/>
          </w:tcPr>
          <w:p>
            <w:pPr>
              <w:widowControl/>
              <w:spacing w:line="240" w:lineRule="auto"/>
              <w:jc w:val="center"/>
              <w:textAlignment w:val="center"/>
              <w:rPr>
                <w:rFonts w:ascii="仿宋_GB2312" w:hAnsi="仿宋_GB2312" w:eastAsia="仿宋_GB2312" w:cs="仿宋_GB2312"/>
                <w:color w:val="000000"/>
                <w:sz w:val="21"/>
                <w:szCs w:val="21"/>
                <w14:ligatures w14:val="none"/>
              </w:rPr>
            </w:pPr>
            <w:r>
              <w:rPr>
                <w:rFonts w:ascii="仿宋_GB2312" w:hAnsi="仿宋_GB2312" w:eastAsia="仿宋_GB2312" w:cs="仿宋_GB2312"/>
                <w:color w:val="000000"/>
                <w:kern w:val="0"/>
                <w:sz w:val="21"/>
                <w:szCs w:val="21"/>
                <w:lang w:bidi="ar"/>
                <w14:ligatures w14:val="none"/>
              </w:rPr>
              <w:t>4</w:t>
            </w:r>
          </w:p>
        </w:tc>
        <w:tc>
          <w:tcPr>
            <w:tcW w:w="1192" w:type="dxa"/>
            <w:vMerge w:val="restart"/>
            <w:tcBorders>
              <w:top w:val="single" w:color="000000" w:sz="4" w:space="0"/>
              <w:left w:val="single" w:color="000000" w:sz="4" w:space="0"/>
              <w:bottom w:val="single" w:color="000000" w:sz="4" w:space="0"/>
              <w:right w:val="single" w:color="000000" w:sz="4" w:space="0"/>
            </w:tcBorders>
            <w:noWrap/>
            <w:vAlign w:val="center"/>
          </w:tcPr>
          <w:p>
            <w:pPr>
              <w:widowControl/>
              <w:spacing w:line="240" w:lineRule="auto"/>
              <w:jc w:val="center"/>
              <w:textAlignment w:val="center"/>
              <w:rPr>
                <w:rFonts w:ascii="仿宋_GB2312" w:hAnsi="仿宋_GB2312" w:eastAsia="仿宋_GB2312" w:cs="仿宋_GB2312"/>
                <w:color w:val="000000"/>
                <w:sz w:val="21"/>
                <w:szCs w:val="21"/>
                <w14:ligatures w14:val="none"/>
              </w:rPr>
            </w:pPr>
            <w:r>
              <w:rPr>
                <w:rFonts w:ascii="仿宋_GB2312" w:hAnsi="仿宋_GB2312" w:eastAsia="仿宋_GB2312" w:cs="仿宋_GB2312"/>
                <w:color w:val="000000"/>
                <w:kern w:val="0"/>
                <w:sz w:val="21"/>
                <w:szCs w:val="21"/>
                <w:lang w:bidi="ar"/>
                <w14:ligatures w14:val="none"/>
              </w:rPr>
              <w:t>待遇保障</w:t>
            </w:r>
          </w:p>
        </w:tc>
        <w:tc>
          <w:tcPr>
            <w:tcW w:w="2382"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left"/>
              <w:textAlignment w:val="center"/>
              <w:rPr>
                <w:rFonts w:ascii="仿宋_GB2312" w:hAnsi="仿宋_GB2312" w:eastAsia="仿宋_GB2312" w:cs="仿宋_GB2312"/>
                <w:color w:val="000000"/>
                <w:sz w:val="21"/>
                <w:szCs w:val="21"/>
                <w14:ligatures w14:val="none"/>
              </w:rPr>
            </w:pPr>
            <w:r>
              <w:rPr>
                <w:rFonts w:ascii="仿宋_GB2312" w:hAnsi="仿宋_GB2312" w:eastAsia="仿宋_GB2312" w:cs="仿宋_GB2312"/>
                <w:color w:val="000000"/>
                <w:kern w:val="0"/>
                <w:sz w:val="21"/>
                <w:szCs w:val="21"/>
                <w:lang w:bidi="ar"/>
                <w14:ligatures w14:val="none"/>
              </w:rPr>
              <w:t>基本医疗保险目录内住院费用基金支付比例</w:t>
            </w:r>
          </w:p>
        </w:tc>
        <w:tc>
          <w:tcPr>
            <w:tcW w:w="1646"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left"/>
              <w:textAlignment w:val="center"/>
              <w:rPr>
                <w:rFonts w:ascii="仿宋_GB2312" w:hAnsi="仿宋_GB2312" w:eastAsia="仿宋_GB2312" w:cs="仿宋_GB2312"/>
                <w:color w:val="000000"/>
                <w:sz w:val="21"/>
                <w:szCs w:val="21"/>
                <w14:ligatures w14:val="none"/>
              </w:rPr>
            </w:pPr>
            <w:r>
              <w:rPr>
                <w:rFonts w:ascii="仿宋_GB2312" w:hAnsi="仿宋_GB2312" w:eastAsia="仿宋_GB2312" w:cs="仿宋_GB2312"/>
                <w:color w:val="000000"/>
                <w:kern w:val="0"/>
                <w:sz w:val="21"/>
                <w:szCs w:val="21"/>
                <w:lang w:bidi="ar"/>
                <w14:ligatures w14:val="none"/>
              </w:rPr>
              <w:t>职工81.55%</w:t>
            </w:r>
            <w:r>
              <w:rPr>
                <w:rFonts w:ascii="仿宋_GB2312" w:hAnsi="仿宋_GB2312" w:eastAsia="仿宋_GB2312" w:cs="仿宋_GB2312"/>
                <w:color w:val="000000"/>
                <w:kern w:val="0"/>
                <w:sz w:val="21"/>
                <w:szCs w:val="21"/>
                <w:lang w:bidi="ar"/>
                <w14:ligatures w14:val="none"/>
              </w:rPr>
              <w:br w:type="textWrapping"/>
            </w:r>
            <w:r>
              <w:rPr>
                <w:rFonts w:ascii="仿宋_GB2312" w:hAnsi="仿宋_GB2312" w:eastAsia="仿宋_GB2312" w:cs="仿宋_GB2312"/>
                <w:color w:val="000000"/>
                <w:kern w:val="0"/>
                <w:sz w:val="21"/>
                <w:szCs w:val="21"/>
                <w:lang w:bidi="ar"/>
                <w14:ligatures w14:val="none"/>
              </w:rPr>
              <w:t>居民70.02%</w:t>
            </w:r>
          </w:p>
        </w:tc>
        <w:tc>
          <w:tcPr>
            <w:tcW w:w="2122"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left"/>
              <w:textAlignment w:val="center"/>
              <w:rPr>
                <w:rFonts w:ascii="仿宋_GB2312" w:hAnsi="仿宋_GB2312" w:eastAsia="仿宋_GB2312" w:cs="仿宋_GB2312"/>
                <w:color w:val="000000"/>
                <w:sz w:val="21"/>
                <w:szCs w:val="21"/>
                <w14:ligatures w14:val="none"/>
              </w:rPr>
            </w:pPr>
            <w:r>
              <w:rPr>
                <w:rFonts w:ascii="仿宋_GB2312" w:hAnsi="仿宋_GB2312" w:eastAsia="仿宋_GB2312" w:cs="仿宋_GB2312"/>
                <w:color w:val="000000"/>
                <w:kern w:val="0"/>
                <w:sz w:val="21"/>
                <w:szCs w:val="21"/>
                <w:lang w:bidi="ar"/>
                <w14:ligatures w14:val="none"/>
              </w:rPr>
              <w:t>保持稳定</w:t>
            </w:r>
          </w:p>
        </w:tc>
      </w:tr>
      <w:tr>
        <w:tblPrEx>
          <w:tblLayout w:type="fixed"/>
          <w:tblCellMar>
            <w:top w:w="0" w:type="dxa"/>
            <w:left w:w="108" w:type="dxa"/>
            <w:bottom w:w="0" w:type="dxa"/>
            <w:right w:w="108" w:type="dxa"/>
          </w:tblCellMar>
        </w:tblPrEx>
        <w:trPr>
          <w:trHeight w:val="560" w:hRule="atLeast"/>
        </w:trPr>
        <w:tc>
          <w:tcPr>
            <w:tcW w:w="798" w:type="dxa"/>
            <w:tcBorders>
              <w:top w:val="single" w:color="000000" w:sz="4" w:space="0"/>
              <w:left w:val="single" w:color="000000" w:sz="4" w:space="0"/>
              <w:bottom w:val="single" w:color="000000" w:sz="4" w:space="0"/>
              <w:right w:val="single" w:color="000000" w:sz="4" w:space="0"/>
            </w:tcBorders>
            <w:noWrap/>
            <w:vAlign w:val="center"/>
          </w:tcPr>
          <w:p>
            <w:pPr>
              <w:widowControl/>
              <w:spacing w:line="240" w:lineRule="auto"/>
              <w:jc w:val="center"/>
              <w:textAlignment w:val="center"/>
              <w:rPr>
                <w:rFonts w:ascii="仿宋_GB2312" w:hAnsi="仿宋_GB2312" w:eastAsia="仿宋_GB2312" w:cs="仿宋_GB2312"/>
                <w:color w:val="000000"/>
                <w:sz w:val="21"/>
                <w:szCs w:val="21"/>
                <w14:ligatures w14:val="none"/>
              </w:rPr>
            </w:pPr>
            <w:r>
              <w:rPr>
                <w:rFonts w:ascii="仿宋_GB2312" w:hAnsi="仿宋_GB2312" w:eastAsia="仿宋_GB2312" w:cs="仿宋_GB2312"/>
                <w:color w:val="000000"/>
                <w:kern w:val="0"/>
                <w:sz w:val="21"/>
                <w:szCs w:val="21"/>
                <w:lang w:bidi="ar"/>
                <w14:ligatures w14:val="none"/>
              </w:rPr>
              <w:t>5</w:t>
            </w:r>
          </w:p>
        </w:tc>
        <w:tc>
          <w:tcPr>
            <w:tcW w:w="1192" w:type="dxa"/>
            <w:vMerge w:val="continue"/>
            <w:tcBorders>
              <w:top w:val="single" w:color="000000" w:sz="4" w:space="0"/>
              <w:left w:val="single" w:color="000000" w:sz="4" w:space="0"/>
              <w:bottom w:val="single" w:color="000000" w:sz="4" w:space="0"/>
              <w:right w:val="single" w:color="000000" w:sz="4" w:space="0"/>
            </w:tcBorders>
            <w:noWrap/>
            <w:vAlign w:val="center"/>
          </w:tcPr>
          <w:p>
            <w:pPr>
              <w:spacing w:line="240" w:lineRule="auto"/>
              <w:jc w:val="center"/>
              <w:rPr>
                <w:rFonts w:ascii="仿宋_GB2312" w:hAnsi="仿宋_GB2312" w:eastAsia="仿宋_GB2312" w:cs="仿宋_GB2312"/>
                <w:color w:val="000000"/>
                <w:sz w:val="21"/>
                <w:szCs w:val="21"/>
                <w14:ligatures w14:val="none"/>
              </w:rPr>
            </w:pPr>
          </w:p>
        </w:tc>
        <w:tc>
          <w:tcPr>
            <w:tcW w:w="2382"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left"/>
              <w:textAlignment w:val="center"/>
              <w:rPr>
                <w:rFonts w:ascii="仿宋_GB2312" w:hAnsi="仿宋_GB2312" w:eastAsia="仿宋_GB2312" w:cs="仿宋_GB2312"/>
                <w:color w:val="000000"/>
                <w:sz w:val="21"/>
                <w:szCs w:val="21"/>
                <w14:ligatures w14:val="none"/>
              </w:rPr>
            </w:pPr>
            <w:r>
              <w:rPr>
                <w:rFonts w:ascii="仿宋_GB2312" w:hAnsi="仿宋_GB2312" w:eastAsia="仿宋_GB2312" w:cs="仿宋_GB2312"/>
                <w:color w:val="000000"/>
                <w:kern w:val="0"/>
                <w:sz w:val="21"/>
                <w:szCs w:val="21"/>
                <w:lang w:bidi="ar"/>
                <w14:ligatures w14:val="none"/>
              </w:rPr>
              <w:t>支持基层基金支出占比情况</w:t>
            </w:r>
          </w:p>
        </w:tc>
        <w:tc>
          <w:tcPr>
            <w:tcW w:w="1646"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left"/>
              <w:textAlignment w:val="center"/>
              <w:rPr>
                <w:rFonts w:ascii="仿宋_GB2312" w:hAnsi="仿宋_GB2312" w:eastAsia="仿宋_GB2312" w:cs="仿宋_GB2312"/>
                <w:color w:val="000000"/>
                <w:sz w:val="21"/>
                <w:szCs w:val="21"/>
                <w14:ligatures w14:val="none"/>
              </w:rPr>
            </w:pPr>
            <w:r>
              <w:rPr>
                <w:rFonts w:ascii="仿宋_GB2312" w:hAnsi="仿宋_GB2312" w:eastAsia="仿宋_GB2312" w:cs="仿宋_GB2312"/>
                <w:color w:val="000000"/>
                <w:kern w:val="0"/>
                <w:sz w:val="21"/>
                <w:szCs w:val="21"/>
                <w:lang w:bidi="ar"/>
                <w14:ligatures w14:val="none"/>
              </w:rPr>
              <w:t>——</w:t>
            </w:r>
          </w:p>
        </w:tc>
        <w:tc>
          <w:tcPr>
            <w:tcW w:w="2122"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left"/>
              <w:textAlignment w:val="center"/>
              <w:rPr>
                <w:rFonts w:ascii="仿宋_GB2312" w:hAnsi="仿宋_GB2312" w:eastAsia="仿宋_GB2312" w:cs="仿宋_GB2312"/>
                <w:color w:val="000000"/>
                <w:sz w:val="21"/>
                <w:szCs w:val="21"/>
                <w14:ligatures w14:val="none"/>
              </w:rPr>
            </w:pPr>
            <w:r>
              <w:rPr>
                <w:rFonts w:ascii="仿宋_GB2312" w:hAnsi="仿宋_GB2312" w:eastAsia="仿宋_GB2312" w:cs="仿宋_GB2312"/>
                <w:color w:val="000000"/>
                <w:kern w:val="0"/>
                <w:sz w:val="21"/>
                <w:szCs w:val="21"/>
                <w:lang w:bidi="ar"/>
                <w14:ligatures w14:val="none"/>
              </w:rPr>
              <w:t>有所提升</w:t>
            </w:r>
          </w:p>
        </w:tc>
      </w:tr>
      <w:tr>
        <w:tblPrEx>
          <w:tblLayout w:type="fixed"/>
          <w:tblCellMar>
            <w:top w:w="0" w:type="dxa"/>
            <w:left w:w="108" w:type="dxa"/>
            <w:bottom w:w="0" w:type="dxa"/>
            <w:right w:w="108" w:type="dxa"/>
          </w:tblCellMar>
        </w:tblPrEx>
        <w:trPr>
          <w:trHeight w:val="560" w:hRule="atLeast"/>
        </w:trPr>
        <w:tc>
          <w:tcPr>
            <w:tcW w:w="798" w:type="dxa"/>
            <w:tcBorders>
              <w:top w:val="single" w:color="000000" w:sz="4" w:space="0"/>
              <w:left w:val="single" w:color="000000" w:sz="4" w:space="0"/>
              <w:bottom w:val="single" w:color="000000" w:sz="4" w:space="0"/>
              <w:right w:val="single" w:color="000000" w:sz="4" w:space="0"/>
            </w:tcBorders>
            <w:noWrap/>
            <w:vAlign w:val="center"/>
          </w:tcPr>
          <w:p>
            <w:pPr>
              <w:widowControl/>
              <w:spacing w:line="240" w:lineRule="auto"/>
              <w:jc w:val="center"/>
              <w:textAlignment w:val="center"/>
              <w:rPr>
                <w:rFonts w:ascii="仿宋_GB2312" w:hAnsi="仿宋_GB2312" w:eastAsia="仿宋_GB2312" w:cs="仿宋_GB2312"/>
                <w:color w:val="000000"/>
                <w:sz w:val="21"/>
                <w:szCs w:val="21"/>
                <w14:ligatures w14:val="none"/>
              </w:rPr>
            </w:pPr>
            <w:r>
              <w:rPr>
                <w:rFonts w:ascii="仿宋_GB2312" w:hAnsi="仿宋_GB2312" w:eastAsia="仿宋_GB2312" w:cs="仿宋_GB2312"/>
                <w:color w:val="000000"/>
                <w:kern w:val="0"/>
                <w:sz w:val="21"/>
                <w:szCs w:val="21"/>
                <w:lang w:bidi="ar"/>
                <w14:ligatures w14:val="none"/>
              </w:rPr>
              <w:t>6</w:t>
            </w:r>
          </w:p>
        </w:tc>
        <w:tc>
          <w:tcPr>
            <w:tcW w:w="1192" w:type="dxa"/>
            <w:tcBorders>
              <w:top w:val="single" w:color="000000" w:sz="4" w:space="0"/>
              <w:left w:val="single" w:color="000000" w:sz="4" w:space="0"/>
              <w:right w:val="single" w:color="000000" w:sz="4" w:space="0"/>
            </w:tcBorders>
            <w:noWrap/>
            <w:vAlign w:val="center"/>
          </w:tcPr>
          <w:p>
            <w:pPr>
              <w:widowControl/>
              <w:spacing w:line="240" w:lineRule="auto"/>
              <w:jc w:val="center"/>
              <w:textAlignment w:val="center"/>
              <w:rPr>
                <w:rFonts w:ascii="仿宋_GB2312" w:hAnsi="仿宋_GB2312" w:eastAsia="仿宋_GB2312" w:cs="仿宋_GB2312"/>
                <w:color w:val="000000"/>
                <w:sz w:val="21"/>
                <w:szCs w:val="21"/>
                <w14:ligatures w14:val="none"/>
              </w:rPr>
            </w:pPr>
            <w:r>
              <w:rPr>
                <w:rFonts w:ascii="仿宋_GB2312" w:hAnsi="仿宋_GB2312" w:eastAsia="仿宋_GB2312" w:cs="仿宋_GB2312"/>
                <w:color w:val="000000"/>
                <w:kern w:val="0"/>
                <w:sz w:val="21"/>
                <w:szCs w:val="21"/>
                <w:lang w:bidi="ar"/>
                <w14:ligatures w14:val="none"/>
              </w:rPr>
              <w:t>基金安全</w:t>
            </w:r>
          </w:p>
        </w:tc>
        <w:tc>
          <w:tcPr>
            <w:tcW w:w="2382"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left"/>
              <w:textAlignment w:val="center"/>
              <w:rPr>
                <w:rFonts w:ascii="仿宋_GB2312" w:hAnsi="仿宋_GB2312" w:eastAsia="仿宋_GB2312" w:cs="仿宋_GB2312"/>
                <w:color w:val="000000"/>
                <w:sz w:val="21"/>
                <w:szCs w:val="21"/>
                <w14:ligatures w14:val="none"/>
              </w:rPr>
            </w:pPr>
            <w:r>
              <w:rPr>
                <w:rFonts w:ascii="仿宋_GB2312" w:hAnsi="仿宋_GB2312" w:eastAsia="仿宋_GB2312" w:cs="仿宋_GB2312"/>
                <w:color w:val="000000"/>
                <w:kern w:val="0"/>
                <w:sz w:val="21"/>
                <w:szCs w:val="21"/>
                <w:lang w:bidi="ar"/>
                <w14:ligatures w14:val="none"/>
              </w:rPr>
              <w:t>统筹基金累计结余可支付月数</w:t>
            </w:r>
          </w:p>
        </w:tc>
        <w:tc>
          <w:tcPr>
            <w:tcW w:w="1646"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left"/>
              <w:textAlignment w:val="center"/>
              <w:rPr>
                <w:rFonts w:ascii="仿宋_GB2312" w:hAnsi="仿宋_GB2312" w:eastAsia="仿宋_GB2312" w:cs="仿宋_GB2312"/>
                <w:color w:val="000000"/>
                <w:kern w:val="0"/>
                <w:sz w:val="21"/>
                <w:szCs w:val="21"/>
                <w:lang w:bidi="ar"/>
                <w14:ligatures w14:val="none"/>
              </w:rPr>
            </w:pPr>
            <w:r>
              <w:rPr>
                <w:rFonts w:ascii="仿宋_GB2312" w:hAnsi="仿宋_GB2312" w:eastAsia="仿宋_GB2312" w:cs="仿宋_GB2312"/>
                <w:color w:val="000000"/>
                <w:kern w:val="0"/>
                <w:sz w:val="21"/>
                <w:szCs w:val="21"/>
                <w:lang w:bidi="ar"/>
                <w14:ligatures w14:val="none"/>
              </w:rPr>
              <w:t>职工：30个月</w:t>
            </w:r>
          </w:p>
          <w:p>
            <w:pPr>
              <w:widowControl/>
              <w:spacing w:line="240" w:lineRule="auto"/>
              <w:jc w:val="left"/>
              <w:textAlignment w:val="center"/>
              <w:rPr>
                <w:rFonts w:ascii="仿宋_GB2312" w:hAnsi="仿宋_GB2312" w:eastAsia="仿宋_GB2312" w:cs="仿宋_GB2312"/>
                <w:color w:val="000000"/>
                <w:kern w:val="0"/>
                <w:sz w:val="21"/>
                <w:szCs w:val="21"/>
                <w:lang w:bidi="ar"/>
                <w14:ligatures w14:val="none"/>
              </w:rPr>
            </w:pPr>
            <w:r>
              <w:rPr>
                <w:rFonts w:ascii="仿宋_GB2312" w:hAnsi="仿宋_GB2312" w:eastAsia="仿宋_GB2312" w:cs="仿宋_GB2312"/>
                <w:color w:val="000000"/>
                <w:kern w:val="0"/>
                <w:sz w:val="21"/>
                <w:szCs w:val="21"/>
                <w:lang w:bidi="ar"/>
                <w14:ligatures w14:val="none"/>
              </w:rPr>
              <w:t>居民：16个月</w:t>
            </w:r>
          </w:p>
        </w:tc>
        <w:tc>
          <w:tcPr>
            <w:tcW w:w="2122"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left"/>
              <w:textAlignment w:val="center"/>
              <w:rPr>
                <w:rFonts w:ascii="仿宋_GB2312" w:hAnsi="仿宋_GB2312" w:eastAsia="仿宋_GB2312" w:cs="仿宋_GB2312"/>
                <w:color w:val="000000"/>
                <w:sz w:val="21"/>
                <w:szCs w:val="21"/>
                <w14:ligatures w14:val="none"/>
              </w:rPr>
            </w:pPr>
            <w:r>
              <w:rPr>
                <w:rFonts w:ascii="仿宋_GB2312" w:hAnsi="仿宋_GB2312" w:eastAsia="仿宋_GB2312" w:cs="仿宋_GB2312"/>
                <w:color w:val="000000"/>
                <w:kern w:val="0"/>
                <w:sz w:val="21"/>
                <w:szCs w:val="21"/>
                <w:lang w:bidi="ar"/>
                <w14:ligatures w14:val="none"/>
              </w:rPr>
              <w:t>职工医保安全线以上；居民医保低风险线以上</w:t>
            </w:r>
          </w:p>
        </w:tc>
      </w:tr>
      <w:tr>
        <w:tblPrEx>
          <w:tblLayout w:type="fixed"/>
          <w:tblCellMar>
            <w:top w:w="0" w:type="dxa"/>
            <w:left w:w="108" w:type="dxa"/>
            <w:bottom w:w="0" w:type="dxa"/>
            <w:right w:w="108" w:type="dxa"/>
          </w:tblCellMar>
        </w:tblPrEx>
        <w:trPr>
          <w:trHeight w:val="1400" w:hRule="atLeast"/>
        </w:trPr>
        <w:tc>
          <w:tcPr>
            <w:tcW w:w="798" w:type="dxa"/>
            <w:tcBorders>
              <w:top w:val="single" w:color="000000" w:sz="4" w:space="0"/>
              <w:left w:val="single" w:color="000000" w:sz="4" w:space="0"/>
              <w:bottom w:val="single" w:color="000000" w:sz="4" w:space="0"/>
              <w:right w:val="nil"/>
            </w:tcBorders>
            <w:noWrap/>
            <w:vAlign w:val="center"/>
          </w:tcPr>
          <w:p>
            <w:pPr>
              <w:widowControl/>
              <w:spacing w:line="240" w:lineRule="auto"/>
              <w:jc w:val="center"/>
              <w:textAlignment w:val="center"/>
              <w:rPr>
                <w:rFonts w:ascii="仿宋_GB2312" w:hAnsi="仿宋_GB2312" w:eastAsia="仿宋_GB2312" w:cs="仿宋_GB2312"/>
                <w:color w:val="000000"/>
                <w:sz w:val="21"/>
                <w:szCs w:val="21"/>
                <w14:ligatures w14:val="none"/>
              </w:rPr>
            </w:pPr>
            <w:r>
              <w:rPr>
                <w:rFonts w:ascii="仿宋_GB2312" w:hAnsi="仿宋_GB2312" w:eastAsia="仿宋_GB2312" w:cs="仿宋_GB2312"/>
                <w:color w:val="000000"/>
                <w:kern w:val="0"/>
                <w:sz w:val="21"/>
                <w:szCs w:val="21"/>
                <w:lang w:bidi="ar"/>
                <w14:ligatures w14:val="none"/>
              </w:rPr>
              <w:t>7</w:t>
            </w:r>
          </w:p>
        </w:tc>
        <w:tc>
          <w:tcPr>
            <w:tcW w:w="1192" w:type="dxa"/>
            <w:vMerge w:val="restart"/>
            <w:tcBorders>
              <w:top w:val="single" w:color="000000" w:sz="4" w:space="0"/>
              <w:left w:val="single" w:color="000000" w:sz="4" w:space="0"/>
              <w:right w:val="single" w:color="000000" w:sz="4" w:space="0"/>
            </w:tcBorders>
            <w:noWrap/>
            <w:vAlign w:val="center"/>
          </w:tcPr>
          <w:p>
            <w:pPr>
              <w:spacing w:line="240" w:lineRule="auto"/>
              <w:jc w:val="center"/>
              <w:rPr>
                <w:rFonts w:ascii="仿宋_GB2312" w:hAnsi="仿宋_GB2312" w:eastAsia="仿宋_GB2312" w:cs="仿宋_GB2312"/>
                <w:color w:val="000000"/>
                <w:sz w:val="21"/>
                <w:szCs w:val="21"/>
                <w14:ligatures w14:val="none"/>
              </w:rPr>
            </w:pPr>
            <w:r>
              <w:rPr>
                <w:rFonts w:ascii="仿宋_GB2312" w:hAnsi="仿宋_GB2312" w:eastAsia="仿宋_GB2312" w:cs="仿宋_GB2312"/>
                <w:color w:val="000000"/>
                <w:kern w:val="0"/>
                <w:sz w:val="21"/>
                <w:szCs w:val="21"/>
                <w:lang w:bidi="ar"/>
                <w14:ligatures w14:val="none"/>
              </w:rPr>
              <w:t>精细管理</w:t>
            </w:r>
          </w:p>
        </w:tc>
        <w:tc>
          <w:tcPr>
            <w:tcW w:w="2382" w:type="dxa"/>
            <w:tcBorders>
              <w:top w:val="single" w:color="000000" w:sz="4" w:space="0"/>
              <w:left w:val="nil"/>
              <w:bottom w:val="single" w:color="000000" w:sz="4" w:space="0"/>
              <w:right w:val="single" w:color="000000" w:sz="4" w:space="0"/>
            </w:tcBorders>
            <w:vAlign w:val="center"/>
          </w:tcPr>
          <w:p>
            <w:pPr>
              <w:widowControl/>
              <w:spacing w:line="240" w:lineRule="auto"/>
              <w:jc w:val="left"/>
              <w:textAlignment w:val="center"/>
              <w:rPr>
                <w:rFonts w:ascii="仿宋_GB2312" w:hAnsi="仿宋_GB2312" w:eastAsia="仿宋_GB2312" w:cs="仿宋_GB2312"/>
                <w:color w:val="000000"/>
                <w:sz w:val="21"/>
                <w:szCs w:val="21"/>
                <w14:ligatures w14:val="none"/>
              </w:rPr>
            </w:pPr>
            <w:r>
              <w:rPr>
                <w:rFonts w:ascii="仿宋_GB2312" w:hAnsi="仿宋_GB2312" w:eastAsia="仿宋_GB2312" w:cs="仿宋_GB2312"/>
                <w:color w:val="000000"/>
                <w:kern w:val="0"/>
                <w:sz w:val="21"/>
                <w:szCs w:val="21"/>
                <w:lang w:bidi="ar"/>
                <w14:ligatures w14:val="none"/>
              </w:rPr>
              <w:t>公立医疗机构通过省级集中采购平台采购药品金额占全部采购药品（不含中药饮片）金额的比例</w:t>
            </w:r>
          </w:p>
        </w:tc>
        <w:tc>
          <w:tcPr>
            <w:tcW w:w="1646" w:type="dxa"/>
            <w:tcBorders>
              <w:top w:val="single" w:color="000000" w:sz="4" w:space="0"/>
              <w:left w:val="single" w:color="000000" w:sz="4" w:space="0"/>
              <w:bottom w:val="single" w:color="000000" w:sz="4" w:space="0"/>
              <w:right w:val="single" w:color="000000" w:sz="4" w:space="0"/>
            </w:tcBorders>
            <w:vAlign w:val="center"/>
          </w:tcPr>
          <w:p>
            <w:pPr>
              <w:spacing w:line="240" w:lineRule="auto"/>
              <w:jc w:val="left"/>
              <w:rPr>
                <w:rFonts w:ascii="仿宋_GB2312" w:hAnsi="仿宋_GB2312" w:eastAsia="仿宋_GB2312" w:cs="仿宋_GB2312"/>
                <w:color w:val="000000"/>
                <w:sz w:val="21"/>
                <w:szCs w:val="21"/>
                <w14:ligatures w14:val="none"/>
              </w:rPr>
            </w:pPr>
            <w:r>
              <w:rPr>
                <w:rFonts w:ascii="仿宋_GB2312" w:hAnsi="仿宋_GB2312" w:eastAsia="仿宋_GB2312" w:cs="仿宋_GB2312"/>
                <w:color w:val="000000"/>
                <w:sz w:val="21"/>
                <w:szCs w:val="21"/>
                <w14:ligatures w14:val="none"/>
              </w:rPr>
              <w:t>99%</w:t>
            </w:r>
          </w:p>
        </w:tc>
        <w:tc>
          <w:tcPr>
            <w:tcW w:w="2122"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left"/>
              <w:textAlignment w:val="center"/>
              <w:rPr>
                <w:rFonts w:ascii="仿宋_GB2312" w:hAnsi="仿宋_GB2312" w:eastAsia="仿宋_GB2312" w:cs="仿宋_GB2312"/>
                <w:color w:val="000000"/>
                <w:sz w:val="21"/>
                <w:szCs w:val="21"/>
                <w14:ligatures w14:val="none"/>
              </w:rPr>
            </w:pPr>
            <w:r>
              <w:rPr>
                <w:rFonts w:ascii="仿宋_GB2312" w:hAnsi="仿宋_GB2312" w:eastAsia="仿宋_GB2312" w:cs="仿宋_GB2312"/>
                <w:color w:val="000000"/>
                <w:kern w:val="0"/>
                <w:sz w:val="21"/>
                <w:szCs w:val="21"/>
                <w:lang w:bidi="ar"/>
                <w14:ligatures w14:val="none"/>
              </w:rPr>
              <w:t>稳定在95%以上</w:t>
            </w:r>
          </w:p>
        </w:tc>
      </w:tr>
      <w:tr>
        <w:tblPrEx>
          <w:tblLayout w:type="fixed"/>
          <w:tblCellMar>
            <w:top w:w="0" w:type="dxa"/>
            <w:left w:w="108" w:type="dxa"/>
            <w:bottom w:w="0" w:type="dxa"/>
            <w:right w:w="108" w:type="dxa"/>
          </w:tblCellMar>
        </w:tblPrEx>
        <w:trPr>
          <w:trHeight w:val="1400" w:hRule="atLeast"/>
        </w:trPr>
        <w:tc>
          <w:tcPr>
            <w:tcW w:w="798" w:type="dxa"/>
            <w:tcBorders>
              <w:top w:val="single" w:color="000000" w:sz="4" w:space="0"/>
              <w:left w:val="single" w:color="000000" w:sz="4" w:space="0"/>
              <w:bottom w:val="single" w:color="000000" w:sz="4" w:space="0"/>
              <w:right w:val="nil"/>
            </w:tcBorders>
            <w:noWrap/>
            <w:vAlign w:val="center"/>
          </w:tcPr>
          <w:p>
            <w:pPr>
              <w:widowControl/>
              <w:spacing w:line="240" w:lineRule="auto"/>
              <w:jc w:val="center"/>
              <w:textAlignment w:val="center"/>
              <w:rPr>
                <w:rFonts w:ascii="仿宋_GB2312" w:hAnsi="仿宋_GB2312" w:eastAsia="仿宋_GB2312" w:cs="仿宋_GB2312"/>
                <w:color w:val="000000"/>
                <w:sz w:val="21"/>
                <w:szCs w:val="21"/>
                <w14:ligatures w14:val="none"/>
              </w:rPr>
            </w:pPr>
            <w:r>
              <w:rPr>
                <w:rFonts w:ascii="仿宋_GB2312" w:hAnsi="仿宋_GB2312" w:eastAsia="仿宋_GB2312" w:cs="仿宋_GB2312"/>
                <w:color w:val="000000"/>
                <w:kern w:val="0"/>
                <w:sz w:val="21"/>
                <w:szCs w:val="21"/>
                <w:lang w:bidi="ar"/>
                <w14:ligatures w14:val="none"/>
              </w:rPr>
              <w:t>8</w:t>
            </w:r>
          </w:p>
        </w:tc>
        <w:tc>
          <w:tcPr>
            <w:tcW w:w="1192" w:type="dxa"/>
            <w:vMerge w:val="continue"/>
            <w:tcBorders>
              <w:left w:val="single" w:color="000000" w:sz="4" w:space="0"/>
              <w:bottom w:val="single" w:color="000000" w:sz="4" w:space="0"/>
              <w:right w:val="single" w:color="000000" w:sz="4" w:space="0"/>
            </w:tcBorders>
            <w:noWrap/>
            <w:vAlign w:val="center"/>
          </w:tcPr>
          <w:p>
            <w:pPr>
              <w:spacing w:line="240" w:lineRule="auto"/>
              <w:jc w:val="center"/>
              <w:rPr>
                <w:rFonts w:ascii="仿宋_GB2312" w:hAnsi="仿宋_GB2312" w:eastAsia="仿宋_GB2312" w:cs="仿宋_GB2312"/>
                <w:color w:val="000000"/>
                <w:sz w:val="21"/>
                <w:szCs w:val="21"/>
                <w14:ligatures w14:val="none"/>
              </w:rPr>
            </w:pPr>
          </w:p>
        </w:tc>
        <w:tc>
          <w:tcPr>
            <w:tcW w:w="2382" w:type="dxa"/>
            <w:tcBorders>
              <w:top w:val="single" w:color="000000" w:sz="4" w:space="0"/>
              <w:left w:val="nil"/>
              <w:bottom w:val="single" w:color="000000" w:sz="4" w:space="0"/>
              <w:right w:val="single" w:color="000000" w:sz="4" w:space="0"/>
            </w:tcBorders>
            <w:vAlign w:val="center"/>
          </w:tcPr>
          <w:p>
            <w:pPr>
              <w:widowControl/>
              <w:spacing w:line="240" w:lineRule="auto"/>
              <w:jc w:val="left"/>
              <w:textAlignment w:val="center"/>
              <w:rPr>
                <w:rFonts w:ascii="仿宋_GB2312" w:hAnsi="仿宋_GB2312" w:eastAsia="仿宋_GB2312" w:cs="仿宋_GB2312"/>
                <w:color w:val="000000"/>
                <w:sz w:val="21"/>
                <w:szCs w:val="21"/>
                <w14:ligatures w14:val="none"/>
              </w:rPr>
            </w:pPr>
            <w:r>
              <w:rPr>
                <w:rFonts w:ascii="仿宋_GB2312" w:hAnsi="仿宋_GB2312" w:eastAsia="仿宋_GB2312" w:cs="仿宋_GB2312"/>
                <w:color w:val="000000"/>
                <w:kern w:val="0"/>
                <w:sz w:val="21"/>
                <w:szCs w:val="21"/>
                <w:lang w:bidi="ar"/>
                <w14:ligatures w14:val="none"/>
              </w:rPr>
              <w:t>公立医疗机构通过省级集中采购平台采购高值医用耗材占全部采购高值医用耗材金额的比例</w:t>
            </w:r>
          </w:p>
        </w:tc>
        <w:tc>
          <w:tcPr>
            <w:tcW w:w="1646" w:type="dxa"/>
            <w:tcBorders>
              <w:top w:val="single" w:color="000000" w:sz="4" w:space="0"/>
              <w:left w:val="single" w:color="000000" w:sz="4" w:space="0"/>
              <w:bottom w:val="single" w:color="000000" w:sz="4" w:space="0"/>
              <w:right w:val="single" w:color="000000" w:sz="4" w:space="0"/>
            </w:tcBorders>
            <w:vAlign w:val="center"/>
          </w:tcPr>
          <w:p>
            <w:pPr>
              <w:spacing w:line="240" w:lineRule="auto"/>
              <w:jc w:val="left"/>
              <w:rPr>
                <w:rFonts w:ascii="仿宋_GB2312" w:hAnsi="仿宋_GB2312" w:eastAsia="仿宋_GB2312" w:cs="仿宋_GB2312"/>
                <w:color w:val="000000"/>
                <w:sz w:val="21"/>
                <w:szCs w:val="21"/>
                <w14:ligatures w14:val="none"/>
              </w:rPr>
            </w:pPr>
            <w:r>
              <w:rPr>
                <w:rFonts w:ascii="仿宋_GB2312" w:hAnsi="仿宋_GB2312" w:eastAsia="仿宋_GB2312" w:cs="仿宋_GB2312"/>
                <w:color w:val="000000"/>
                <w:sz w:val="21"/>
                <w:szCs w:val="21"/>
                <w14:ligatures w14:val="none"/>
              </w:rPr>
              <w:t>9</w:t>
            </w:r>
            <w:r>
              <w:rPr>
                <w:rFonts w:hint="eastAsia" w:ascii="仿宋_GB2312" w:hAnsi="仿宋_GB2312" w:eastAsia="仿宋_GB2312" w:cs="仿宋_GB2312"/>
                <w:color w:val="000000"/>
                <w:sz w:val="21"/>
                <w:szCs w:val="21"/>
                <w:lang w:val="en-US" w:eastAsia="zh-CN"/>
                <w14:ligatures w14:val="none"/>
              </w:rPr>
              <w:t>0</w:t>
            </w:r>
            <w:r>
              <w:rPr>
                <w:rFonts w:ascii="仿宋_GB2312" w:hAnsi="仿宋_GB2312" w:eastAsia="仿宋_GB2312" w:cs="仿宋_GB2312"/>
                <w:color w:val="000000"/>
                <w:sz w:val="21"/>
                <w:szCs w:val="21"/>
                <w14:ligatures w14:val="none"/>
              </w:rPr>
              <w:t>%</w:t>
            </w:r>
          </w:p>
        </w:tc>
        <w:tc>
          <w:tcPr>
            <w:tcW w:w="2122"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left"/>
              <w:textAlignment w:val="center"/>
              <w:rPr>
                <w:rFonts w:ascii="仿宋_GB2312" w:hAnsi="仿宋_GB2312" w:eastAsia="仿宋_GB2312" w:cs="仿宋_GB2312"/>
                <w:color w:val="000000"/>
                <w:sz w:val="21"/>
                <w:szCs w:val="21"/>
                <w14:ligatures w14:val="none"/>
              </w:rPr>
            </w:pPr>
            <w:r>
              <w:rPr>
                <w:rFonts w:ascii="仿宋_GB2312" w:hAnsi="仿宋_GB2312" w:eastAsia="仿宋_GB2312" w:cs="仿宋_GB2312"/>
                <w:color w:val="000000"/>
                <w:kern w:val="0"/>
                <w:sz w:val="21"/>
                <w:szCs w:val="21"/>
                <w:lang w:bidi="ar"/>
                <w14:ligatures w14:val="none"/>
              </w:rPr>
              <w:t>稳定在80%以上</w:t>
            </w:r>
          </w:p>
        </w:tc>
      </w:tr>
      <w:tr>
        <w:tblPrEx>
          <w:tblLayout w:type="fixed"/>
          <w:tblCellMar>
            <w:top w:w="0" w:type="dxa"/>
            <w:left w:w="108" w:type="dxa"/>
            <w:bottom w:w="0" w:type="dxa"/>
            <w:right w:w="108" w:type="dxa"/>
          </w:tblCellMar>
        </w:tblPrEx>
        <w:trPr>
          <w:trHeight w:val="840" w:hRule="atLeast"/>
        </w:trPr>
        <w:tc>
          <w:tcPr>
            <w:tcW w:w="798" w:type="dxa"/>
            <w:tcBorders>
              <w:top w:val="single" w:color="000000" w:sz="4" w:space="0"/>
              <w:left w:val="single" w:color="000000" w:sz="4" w:space="0"/>
              <w:bottom w:val="single" w:color="000000" w:sz="4" w:space="0"/>
              <w:right w:val="single" w:color="000000" w:sz="4" w:space="0"/>
            </w:tcBorders>
            <w:noWrap/>
            <w:vAlign w:val="center"/>
          </w:tcPr>
          <w:p>
            <w:pPr>
              <w:widowControl/>
              <w:spacing w:line="240" w:lineRule="auto"/>
              <w:jc w:val="center"/>
              <w:textAlignment w:val="center"/>
              <w:rPr>
                <w:rFonts w:ascii="仿宋_GB2312" w:hAnsi="仿宋_GB2312" w:eastAsia="仿宋_GB2312" w:cs="仿宋_GB2312"/>
                <w:color w:val="000000"/>
                <w:sz w:val="21"/>
                <w:szCs w:val="21"/>
                <w14:ligatures w14:val="none"/>
              </w:rPr>
            </w:pPr>
            <w:r>
              <w:rPr>
                <w:rFonts w:ascii="仿宋_GB2312" w:hAnsi="仿宋_GB2312" w:eastAsia="仿宋_GB2312" w:cs="仿宋_GB2312"/>
                <w:color w:val="000000"/>
                <w:kern w:val="0"/>
                <w:sz w:val="21"/>
                <w:szCs w:val="21"/>
                <w:lang w:bidi="ar"/>
                <w14:ligatures w14:val="none"/>
              </w:rPr>
              <w:t>9</w:t>
            </w:r>
          </w:p>
        </w:tc>
        <w:tc>
          <w:tcPr>
            <w:tcW w:w="1192" w:type="dxa"/>
            <w:vMerge w:val="restart"/>
            <w:tcBorders>
              <w:top w:val="single" w:color="000000" w:sz="4" w:space="0"/>
              <w:left w:val="single" w:color="000000" w:sz="4" w:space="0"/>
              <w:bottom w:val="single" w:color="000000" w:sz="4" w:space="0"/>
              <w:right w:val="single" w:color="000000" w:sz="4" w:space="0"/>
            </w:tcBorders>
            <w:noWrap/>
            <w:vAlign w:val="center"/>
          </w:tcPr>
          <w:p>
            <w:pPr>
              <w:widowControl/>
              <w:spacing w:line="240" w:lineRule="auto"/>
              <w:jc w:val="center"/>
              <w:textAlignment w:val="center"/>
              <w:rPr>
                <w:rFonts w:ascii="仿宋_GB2312" w:hAnsi="仿宋_GB2312" w:eastAsia="仿宋_GB2312" w:cs="仿宋_GB2312"/>
                <w:color w:val="000000"/>
                <w:sz w:val="21"/>
                <w:szCs w:val="21"/>
                <w14:ligatures w14:val="none"/>
              </w:rPr>
            </w:pPr>
            <w:r>
              <w:rPr>
                <w:rFonts w:ascii="仿宋_GB2312" w:hAnsi="仿宋_GB2312" w:eastAsia="仿宋_GB2312" w:cs="仿宋_GB2312"/>
                <w:color w:val="000000"/>
                <w:kern w:val="0"/>
                <w:sz w:val="21"/>
                <w:szCs w:val="21"/>
                <w:lang w:bidi="ar"/>
                <w14:ligatures w14:val="none"/>
              </w:rPr>
              <w:t>高效赋能</w:t>
            </w:r>
          </w:p>
        </w:tc>
        <w:tc>
          <w:tcPr>
            <w:tcW w:w="2382"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left"/>
              <w:textAlignment w:val="center"/>
              <w:rPr>
                <w:rFonts w:ascii="仿宋_GB2312" w:hAnsi="仿宋_GB2312" w:eastAsia="仿宋_GB2312" w:cs="仿宋_GB2312"/>
                <w:color w:val="000000"/>
                <w:sz w:val="21"/>
                <w:szCs w:val="21"/>
                <w14:ligatures w14:val="none"/>
              </w:rPr>
            </w:pPr>
            <w:r>
              <w:rPr>
                <w:rFonts w:ascii="仿宋_GB2312" w:hAnsi="仿宋_GB2312" w:eastAsia="仿宋_GB2312" w:cs="仿宋_GB2312"/>
                <w:color w:val="000000"/>
                <w:kern w:val="0"/>
                <w:sz w:val="21"/>
                <w:szCs w:val="21"/>
                <w:lang w:bidi="ar"/>
                <w14:ligatures w14:val="none"/>
              </w:rPr>
              <w:t>即时结算定点医疗机构覆盖率</w:t>
            </w:r>
          </w:p>
        </w:tc>
        <w:tc>
          <w:tcPr>
            <w:tcW w:w="1646"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left"/>
              <w:textAlignment w:val="center"/>
              <w:rPr>
                <w:rFonts w:ascii="仿宋_GB2312" w:hAnsi="仿宋_GB2312" w:eastAsia="仿宋_GB2312" w:cs="仿宋_GB2312"/>
                <w:color w:val="000000"/>
                <w:sz w:val="21"/>
                <w:szCs w:val="21"/>
                <w14:ligatures w14:val="none"/>
              </w:rPr>
            </w:pPr>
            <w:r>
              <w:rPr>
                <w:rFonts w:ascii="仿宋_GB2312" w:hAnsi="仿宋_GB2312" w:eastAsia="仿宋_GB2312" w:cs="仿宋_GB2312"/>
                <w:color w:val="000000"/>
                <w:kern w:val="0"/>
                <w:sz w:val="21"/>
                <w:szCs w:val="21"/>
                <w:lang w:bidi="ar"/>
                <w14:ligatures w14:val="none"/>
              </w:rPr>
              <w:t>启动医保基金与定点医药机构即时结算</w:t>
            </w:r>
          </w:p>
        </w:tc>
        <w:tc>
          <w:tcPr>
            <w:tcW w:w="2122"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left"/>
              <w:textAlignment w:val="center"/>
              <w:rPr>
                <w:rFonts w:ascii="仿宋_GB2312" w:hAnsi="仿宋_GB2312" w:eastAsia="仿宋_GB2312" w:cs="仿宋_GB2312"/>
                <w:color w:val="000000"/>
                <w:sz w:val="21"/>
                <w:szCs w:val="21"/>
                <w14:ligatures w14:val="none"/>
              </w:rPr>
            </w:pPr>
            <w:r>
              <w:rPr>
                <w:rFonts w:ascii="仿宋_GB2312" w:hAnsi="仿宋_GB2312" w:eastAsia="仿宋_GB2312" w:cs="仿宋_GB2312"/>
                <w:color w:val="000000"/>
                <w:kern w:val="0"/>
                <w:sz w:val="21"/>
                <w:szCs w:val="21"/>
                <w:lang w:bidi="ar"/>
                <w14:ligatures w14:val="none"/>
              </w:rPr>
              <w:t>达到90%</w:t>
            </w:r>
          </w:p>
        </w:tc>
      </w:tr>
      <w:tr>
        <w:tblPrEx>
          <w:tblLayout w:type="fixed"/>
          <w:tblCellMar>
            <w:top w:w="0" w:type="dxa"/>
            <w:left w:w="108" w:type="dxa"/>
            <w:bottom w:w="0" w:type="dxa"/>
            <w:right w:w="108" w:type="dxa"/>
          </w:tblCellMar>
        </w:tblPrEx>
        <w:trPr>
          <w:trHeight w:val="1400" w:hRule="atLeast"/>
        </w:trPr>
        <w:tc>
          <w:tcPr>
            <w:tcW w:w="798" w:type="dxa"/>
            <w:tcBorders>
              <w:top w:val="single" w:color="000000" w:sz="4" w:space="0"/>
              <w:left w:val="single" w:color="000000" w:sz="4" w:space="0"/>
              <w:bottom w:val="single" w:color="000000" w:sz="4" w:space="0"/>
              <w:right w:val="single" w:color="000000" w:sz="4" w:space="0"/>
            </w:tcBorders>
            <w:noWrap/>
            <w:vAlign w:val="center"/>
          </w:tcPr>
          <w:p>
            <w:pPr>
              <w:widowControl/>
              <w:spacing w:line="240" w:lineRule="auto"/>
              <w:jc w:val="center"/>
              <w:textAlignment w:val="center"/>
              <w:rPr>
                <w:rFonts w:ascii="仿宋_GB2312" w:hAnsi="仿宋_GB2312" w:eastAsia="仿宋_GB2312" w:cs="仿宋_GB2312"/>
                <w:color w:val="000000"/>
                <w:sz w:val="21"/>
                <w:szCs w:val="21"/>
                <w14:ligatures w14:val="none"/>
              </w:rPr>
            </w:pPr>
            <w:r>
              <w:rPr>
                <w:rFonts w:ascii="仿宋_GB2312" w:hAnsi="仿宋_GB2312" w:eastAsia="仿宋_GB2312" w:cs="仿宋_GB2312"/>
                <w:color w:val="000000"/>
                <w:kern w:val="0"/>
                <w:sz w:val="21"/>
                <w:szCs w:val="21"/>
                <w:lang w:bidi="ar"/>
                <w14:ligatures w14:val="none"/>
              </w:rPr>
              <w:t>10</w:t>
            </w:r>
          </w:p>
        </w:tc>
        <w:tc>
          <w:tcPr>
            <w:tcW w:w="1192" w:type="dxa"/>
            <w:vMerge w:val="continue"/>
            <w:tcBorders>
              <w:top w:val="single" w:color="000000" w:sz="4" w:space="0"/>
              <w:left w:val="single" w:color="000000" w:sz="4" w:space="0"/>
              <w:bottom w:val="single" w:color="000000" w:sz="4" w:space="0"/>
              <w:right w:val="single" w:color="000000" w:sz="4" w:space="0"/>
            </w:tcBorders>
            <w:noWrap/>
            <w:vAlign w:val="center"/>
          </w:tcPr>
          <w:p>
            <w:pPr>
              <w:spacing w:line="240" w:lineRule="auto"/>
              <w:jc w:val="center"/>
              <w:rPr>
                <w:rFonts w:ascii="仿宋_GB2312" w:hAnsi="仿宋_GB2312" w:eastAsia="仿宋_GB2312" w:cs="仿宋_GB2312"/>
                <w:color w:val="000000"/>
                <w:sz w:val="21"/>
                <w:szCs w:val="21"/>
                <w14:ligatures w14:val="none"/>
              </w:rPr>
            </w:pPr>
          </w:p>
        </w:tc>
        <w:tc>
          <w:tcPr>
            <w:tcW w:w="2382"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left"/>
              <w:textAlignment w:val="center"/>
              <w:rPr>
                <w:rFonts w:ascii="仿宋_GB2312" w:hAnsi="仿宋_GB2312" w:eastAsia="仿宋_GB2312" w:cs="仿宋_GB2312"/>
                <w:color w:val="000000"/>
                <w:sz w:val="21"/>
                <w:szCs w:val="21"/>
                <w14:ligatures w14:val="none"/>
              </w:rPr>
            </w:pPr>
            <w:r>
              <w:rPr>
                <w:rFonts w:ascii="仿宋_GB2312" w:hAnsi="仿宋_GB2312" w:eastAsia="仿宋_GB2312" w:cs="仿宋_GB2312"/>
                <w:color w:val="000000"/>
                <w:kern w:val="0"/>
                <w:sz w:val="21"/>
                <w:szCs w:val="21"/>
                <w:lang w:bidi="ar"/>
                <w14:ligatures w14:val="none"/>
              </w:rPr>
              <w:t>集采药耗直接结算医疗机构覆盖率</w:t>
            </w:r>
          </w:p>
        </w:tc>
        <w:tc>
          <w:tcPr>
            <w:tcW w:w="1646"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left"/>
              <w:textAlignment w:val="center"/>
              <w:rPr>
                <w:rFonts w:ascii="仿宋_GB2312" w:hAnsi="仿宋_GB2312" w:eastAsia="仿宋_GB2312" w:cs="仿宋_GB2312"/>
                <w:color w:val="000000"/>
                <w:sz w:val="21"/>
                <w:szCs w:val="21"/>
                <w14:ligatures w14:val="none"/>
              </w:rPr>
            </w:pPr>
            <w:r>
              <w:rPr>
                <w:rFonts w:ascii="仿宋_GB2312" w:hAnsi="仿宋_GB2312" w:eastAsia="仿宋_GB2312" w:cs="仿宋_GB2312"/>
                <w:color w:val="000000"/>
                <w:kern w:val="0"/>
                <w:sz w:val="21"/>
                <w:szCs w:val="21"/>
                <w:lang w:bidi="ar"/>
                <w14:ligatures w14:val="none"/>
              </w:rPr>
              <w:t>启动医保基金与医药企业直接结算</w:t>
            </w:r>
          </w:p>
        </w:tc>
        <w:tc>
          <w:tcPr>
            <w:tcW w:w="2122"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left"/>
              <w:textAlignment w:val="center"/>
              <w:rPr>
                <w:rFonts w:ascii="仿宋_GB2312" w:hAnsi="仿宋_GB2312" w:eastAsia="仿宋_GB2312" w:cs="仿宋_GB2312"/>
                <w:color w:val="000000"/>
                <w:sz w:val="21"/>
                <w:szCs w:val="21"/>
                <w14:ligatures w14:val="none"/>
              </w:rPr>
            </w:pPr>
            <w:r>
              <w:rPr>
                <w:rFonts w:ascii="仿宋_GB2312" w:hAnsi="仿宋_GB2312" w:eastAsia="仿宋_GB2312" w:cs="仿宋_GB2312"/>
                <w:color w:val="000000"/>
                <w:kern w:val="0"/>
                <w:sz w:val="21"/>
                <w:szCs w:val="21"/>
                <w:lang w:bidi="ar"/>
                <w14:ligatures w14:val="none"/>
              </w:rPr>
              <w:t>定点医疗机构80%以上由医保基金与医药企业直接结算</w:t>
            </w:r>
          </w:p>
        </w:tc>
      </w:tr>
      <w:tr>
        <w:tblPrEx>
          <w:tblLayout w:type="fixed"/>
          <w:tblCellMar>
            <w:top w:w="0" w:type="dxa"/>
            <w:left w:w="108" w:type="dxa"/>
            <w:bottom w:w="0" w:type="dxa"/>
            <w:right w:w="108" w:type="dxa"/>
          </w:tblCellMar>
        </w:tblPrEx>
        <w:trPr>
          <w:trHeight w:val="300" w:hRule="atLeast"/>
        </w:trPr>
        <w:tc>
          <w:tcPr>
            <w:tcW w:w="798" w:type="dxa"/>
            <w:tcBorders>
              <w:top w:val="single" w:color="000000" w:sz="4" w:space="0"/>
              <w:left w:val="single" w:color="000000" w:sz="4" w:space="0"/>
              <w:bottom w:val="single" w:color="000000" w:sz="4" w:space="0"/>
              <w:right w:val="single" w:color="000000" w:sz="4" w:space="0"/>
            </w:tcBorders>
            <w:noWrap/>
            <w:vAlign w:val="center"/>
          </w:tcPr>
          <w:p>
            <w:pPr>
              <w:widowControl/>
              <w:spacing w:line="240" w:lineRule="auto"/>
              <w:jc w:val="center"/>
              <w:textAlignment w:val="center"/>
              <w:rPr>
                <w:rFonts w:ascii="仿宋_GB2312" w:hAnsi="仿宋_GB2312" w:eastAsia="仿宋_GB2312" w:cs="仿宋_GB2312"/>
                <w:color w:val="000000"/>
                <w:sz w:val="21"/>
                <w:szCs w:val="21"/>
                <w14:ligatures w14:val="none"/>
              </w:rPr>
            </w:pPr>
            <w:r>
              <w:rPr>
                <w:rFonts w:ascii="仿宋_GB2312" w:hAnsi="仿宋_GB2312" w:eastAsia="仿宋_GB2312" w:cs="仿宋_GB2312"/>
                <w:color w:val="000000"/>
                <w:kern w:val="0"/>
                <w:sz w:val="21"/>
                <w:szCs w:val="21"/>
                <w:lang w:bidi="ar"/>
                <w14:ligatures w14:val="none"/>
              </w:rPr>
              <w:t>11</w:t>
            </w:r>
          </w:p>
        </w:tc>
        <w:tc>
          <w:tcPr>
            <w:tcW w:w="1192" w:type="dxa"/>
            <w:vMerge w:val="continue"/>
            <w:tcBorders>
              <w:top w:val="single" w:color="000000" w:sz="4" w:space="0"/>
              <w:left w:val="single" w:color="000000" w:sz="4" w:space="0"/>
              <w:bottom w:val="single" w:color="000000" w:sz="4" w:space="0"/>
              <w:right w:val="single" w:color="000000" w:sz="4" w:space="0"/>
            </w:tcBorders>
            <w:noWrap/>
            <w:vAlign w:val="center"/>
          </w:tcPr>
          <w:p>
            <w:pPr>
              <w:spacing w:line="240" w:lineRule="auto"/>
              <w:jc w:val="center"/>
              <w:rPr>
                <w:rFonts w:ascii="仿宋_GB2312" w:hAnsi="仿宋_GB2312" w:eastAsia="仿宋_GB2312" w:cs="仿宋_GB2312"/>
                <w:color w:val="000000"/>
                <w:sz w:val="21"/>
                <w:szCs w:val="21"/>
                <w14:ligatures w14:val="none"/>
              </w:rPr>
            </w:pPr>
          </w:p>
        </w:tc>
        <w:tc>
          <w:tcPr>
            <w:tcW w:w="2382"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left"/>
              <w:textAlignment w:val="center"/>
              <w:rPr>
                <w:rFonts w:ascii="仿宋_GB2312" w:hAnsi="仿宋_GB2312" w:eastAsia="仿宋_GB2312" w:cs="仿宋_GB2312"/>
                <w:color w:val="000000"/>
                <w:sz w:val="21"/>
                <w:szCs w:val="21"/>
                <w14:ligatures w14:val="none"/>
              </w:rPr>
            </w:pPr>
            <w:r>
              <w:rPr>
                <w:rFonts w:ascii="仿宋_GB2312" w:hAnsi="仿宋_GB2312" w:eastAsia="仿宋_GB2312" w:cs="仿宋_GB2312"/>
                <w:color w:val="000000"/>
                <w:kern w:val="0"/>
                <w:sz w:val="21"/>
                <w:szCs w:val="21"/>
                <w:lang w:bidi="ar"/>
                <w14:ligatures w14:val="none"/>
              </w:rPr>
              <w:t>医保联网结算占比</w:t>
            </w:r>
          </w:p>
        </w:tc>
        <w:tc>
          <w:tcPr>
            <w:tcW w:w="1646" w:type="dxa"/>
            <w:tcBorders>
              <w:top w:val="single" w:color="000000" w:sz="4" w:space="0"/>
              <w:left w:val="single" w:color="000000" w:sz="4" w:space="0"/>
              <w:bottom w:val="single" w:color="000000" w:sz="4" w:space="0"/>
              <w:right w:val="single" w:color="000000" w:sz="4" w:space="0"/>
            </w:tcBorders>
            <w:vAlign w:val="center"/>
          </w:tcPr>
          <w:p>
            <w:pPr>
              <w:spacing w:line="240" w:lineRule="auto"/>
              <w:jc w:val="left"/>
              <w:rPr>
                <w:rFonts w:ascii="仿宋_GB2312" w:hAnsi="仿宋_GB2312" w:eastAsia="仿宋_GB2312" w:cs="仿宋_GB2312"/>
                <w:color w:val="000000"/>
                <w:sz w:val="21"/>
                <w:szCs w:val="21"/>
                <w14:ligatures w14:val="none"/>
              </w:rPr>
            </w:pPr>
            <w:r>
              <w:rPr>
                <w:rFonts w:ascii="仿宋_GB2312" w:hAnsi="仿宋_GB2312" w:eastAsia="仿宋_GB2312" w:cs="仿宋_GB2312"/>
                <w:color w:val="000000"/>
                <w:sz w:val="21"/>
                <w:szCs w:val="21"/>
                <w14:ligatures w14:val="none"/>
              </w:rPr>
              <w:t>99.97%</w:t>
            </w:r>
          </w:p>
        </w:tc>
        <w:tc>
          <w:tcPr>
            <w:tcW w:w="2122"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left"/>
              <w:textAlignment w:val="center"/>
              <w:rPr>
                <w:rFonts w:ascii="仿宋_GB2312" w:hAnsi="仿宋_GB2312" w:eastAsia="仿宋_GB2312" w:cs="仿宋_GB2312"/>
                <w:color w:val="000000"/>
                <w:sz w:val="21"/>
                <w:szCs w:val="21"/>
                <w14:ligatures w14:val="none"/>
              </w:rPr>
            </w:pPr>
            <w:r>
              <w:rPr>
                <w:rFonts w:ascii="仿宋_GB2312" w:hAnsi="仿宋_GB2312" w:eastAsia="仿宋_GB2312" w:cs="仿宋_GB2312"/>
                <w:color w:val="000000"/>
                <w:kern w:val="0"/>
                <w:sz w:val="21"/>
                <w:szCs w:val="21"/>
                <w:lang w:bidi="ar"/>
                <w14:ligatures w14:val="none"/>
              </w:rPr>
              <w:t>稳定在99.5%以上</w:t>
            </w:r>
          </w:p>
        </w:tc>
      </w:tr>
      <w:tr>
        <w:tblPrEx>
          <w:tblLayout w:type="fixed"/>
          <w:tblCellMar>
            <w:top w:w="0" w:type="dxa"/>
            <w:left w:w="108" w:type="dxa"/>
            <w:bottom w:w="0" w:type="dxa"/>
            <w:right w:w="108" w:type="dxa"/>
          </w:tblCellMar>
        </w:tblPrEx>
        <w:trPr>
          <w:trHeight w:val="560" w:hRule="atLeast"/>
        </w:trPr>
        <w:tc>
          <w:tcPr>
            <w:tcW w:w="798" w:type="dxa"/>
            <w:tcBorders>
              <w:top w:val="single" w:color="000000" w:sz="4" w:space="0"/>
              <w:left w:val="single" w:color="000000" w:sz="4" w:space="0"/>
              <w:bottom w:val="single" w:color="000000" w:sz="4" w:space="0"/>
              <w:right w:val="single" w:color="000000" w:sz="4" w:space="0"/>
            </w:tcBorders>
            <w:noWrap/>
            <w:vAlign w:val="center"/>
          </w:tcPr>
          <w:p>
            <w:pPr>
              <w:widowControl/>
              <w:spacing w:line="240" w:lineRule="auto"/>
              <w:jc w:val="center"/>
              <w:textAlignment w:val="center"/>
              <w:rPr>
                <w:rFonts w:ascii="仿宋_GB2312" w:hAnsi="仿宋_GB2312" w:eastAsia="仿宋_GB2312" w:cs="仿宋_GB2312"/>
                <w:color w:val="000000"/>
                <w:sz w:val="21"/>
                <w:szCs w:val="21"/>
                <w14:ligatures w14:val="none"/>
              </w:rPr>
            </w:pPr>
            <w:r>
              <w:rPr>
                <w:rFonts w:ascii="仿宋_GB2312" w:hAnsi="仿宋_GB2312" w:eastAsia="仿宋_GB2312" w:cs="仿宋_GB2312"/>
                <w:color w:val="000000"/>
                <w:kern w:val="0"/>
                <w:sz w:val="21"/>
                <w:szCs w:val="21"/>
                <w:lang w:bidi="ar"/>
                <w14:ligatures w14:val="none"/>
              </w:rPr>
              <w:t>12</w:t>
            </w:r>
          </w:p>
        </w:tc>
        <w:tc>
          <w:tcPr>
            <w:tcW w:w="1192" w:type="dxa"/>
            <w:vMerge w:val="continue"/>
            <w:tcBorders>
              <w:top w:val="single" w:color="000000" w:sz="4" w:space="0"/>
              <w:left w:val="single" w:color="000000" w:sz="4" w:space="0"/>
              <w:bottom w:val="single" w:color="000000" w:sz="4" w:space="0"/>
              <w:right w:val="single" w:color="000000" w:sz="4" w:space="0"/>
            </w:tcBorders>
            <w:noWrap/>
            <w:vAlign w:val="center"/>
          </w:tcPr>
          <w:p>
            <w:pPr>
              <w:spacing w:line="240" w:lineRule="auto"/>
              <w:jc w:val="center"/>
              <w:rPr>
                <w:rFonts w:ascii="仿宋_GB2312" w:hAnsi="仿宋_GB2312" w:eastAsia="仿宋_GB2312" w:cs="仿宋_GB2312"/>
                <w:color w:val="000000"/>
                <w:sz w:val="21"/>
                <w:szCs w:val="21"/>
                <w14:ligatures w14:val="none"/>
              </w:rPr>
            </w:pPr>
          </w:p>
        </w:tc>
        <w:tc>
          <w:tcPr>
            <w:tcW w:w="2382"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left"/>
              <w:textAlignment w:val="center"/>
              <w:rPr>
                <w:rFonts w:ascii="仿宋_GB2312" w:hAnsi="仿宋_GB2312" w:eastAsia="仿宋_GB2312" w:cs="仿宋_GB2312"/>
                <w:color w:val="000000"/>
                <w:sz w:val="21"/>
                <w:szCs w:val="21"/>
                <w14:ligatures w14:val="none"/>
              </w:rPr>
            </w:pPr>
            <w:r>
              <w:rPr>
                <w:rFonts w:ascii="仿宋_GB2312" w:hAnsi="仿宋_GB2312" w:eastAsia="仿宋_GB2312" w:cs="仿宋_GB2312"/>
                <w:color w:val="000000"/>
                <w:kern w:val="0"/>
                <w:sz w:val="21"/>
                <w:szCs w:val="21"/>
                <w:lang w:bidi="ar"/>
                <w14:ligatures w14:val="none"/>
              </w:rPr>
              <w:t>生育津贴直接发放到个人</w:t>
            </w:r>
          </w:p>
        </w:tc>
        <w:tc>
          <w:tcPr>
            <w:tcW w:w="1646" w:type="dxa"/>
            <w:tcBorders>
              <w:top w:val="single" w:color="000000" w:sz="4" w:space="0"/>
              <w:left w:val="single" w:color="000000" w:sz="4" w:space="0"/>
              <w:bottom w:val="single" w:color="000000" w:sz="4" w:space="0"/>
              <w:right w:val="single" w:color="000000" w:sz="4" w:space="0"/>
            </w:tcBorders>
            <w:vAlign w:val="center"/>
          </w:tcPr>
          <w:p>
            <w:pPr>
              <w:spacing w:line="240" w:lineRule="auto"/>
              <w:jc w:val="left"/>
              <w:rPr>
                <w:rFonts w:ascii="仿宋_GB2312" w:hAnsi="仿宋_GB2312" w:eastAsia="仿宋_GB2312" w:cs="仿宋_GB2312"/>
                <w:color w:val="000000"/>
                <w:sz w:val="21"/>
                <w:szCs w:val="21"/>
                <w14:ligatures w14:val="none"/>
              </w:rPr>
            </w:pPr>
            <w:r>
              <w:rPr>
                <w:rFonts w:ascii="仿宋_GB2312" w:hAnsi="仿宋_GB2312" w:eastAsia="仿宋_GB2312" w:cs="仿宋_GB2312"/>
                <w:color w:val="000000"/>
                <w:sz w:val="21"/>
                <w:szCs w:val="21"/>
                <w14:ligatures w14:val="none"/>
              </w:rPr>
              <w:t>——</w:t>
            </w:r>
          </w:p>
        </w:tc>
        <w:tc>
          <w:tcPr>
            <w:tcW w:w="2122" w:type="dxa"/>
            <w:tcBorders>
              <w:top w:val="single" w:color="000000" w:sz="4" w:space="0"/>
              <w:left w:val="single" w:color="000000" w:sz="4" w:space="0"/>
              <w:bottom w:val="single" w:color="000000" w:sz="4" w:space="0"/>
              <w:right w:val="single" w:color="000000" w:sz="4" w:space="0"/>
            </w:tcBorders>
            <w:vAlign w:val="center"/>
          </w:tcPr>
          <w:p>
            <w:pPr>
              <w:spacing w:line="240" w:lineRule="auto"/>
              <w:jc w:val="left"/>
              <w:rPr>
                <w:rFonts w:ascii="仿宋_GB2312" w:hAnsi="仿宋_GB2312" w:eastAsia="仿宋_GB2312" w:cs="仿宋_GB2312"/>
                <w:color w:val="000000"/>
                <w:sz w:val="21"/>
                <w:szCs w:val="21"/>
                <w14:ligatures w14:val="none"/>
              </w:rPr>
            </w:pPr>
            <w:r>
              <w:rPr>
                <w:rFonts w:ascii="仿宋_GB2312" w:hAnsi="仿宋_GB2312" w:eastAsia="仿宋_GB2312" w:cs="仿宋_GB2312"/>
                <w:color w:val="000000"/>
                <w:sz w:val="21"/>
                <w:szCs w:val="21"/>
                <w14:ligatures w14:val="none"/>
              </w:rPr>
              <w:t>覆盖所有县区</w:t>
            </w:r>
          </w:p>
        </w:tc>
      </w:tr>
    </w:tbl>
    <w:p>
      <w:pPr>
        <w:spacing w:line="240" w:lineRule="auto"/>
        <w:rPr>
          <w:rFonts w:ascii="Times New Roman" w:hAnsi="Times New Roman" w:cs="Times New Roman"/>
          <w:b/>
          <w:sz w:val="36"/>
          <w:szCs w:val="24"/>
          <w14:ligatures w14:val="none"/>
        </w:rPr>
      </w:pPr>
      <w:r>
        <w:rPr>
          <w:rFonts w:ascii="Times New Roman" w:hAnsi="Times New Roman" w:cs="Times New Roman"/>
          <w:b/>
          <w:sz w:val="36"/>
          <w:szCs w:val="24"/>
          <w14:ligatures w14:val="none"/>
        </w:rPr>
        <w:br w:type="page"/>
      </w:r>
    </w:p>
    <w:p>
      <w:pPr>
        <w:pageBreakBefore/>
        <w:numPr>
          <w:ilvl w:val="255"/>
          <w:numId w:val="0"/>
        </w:numPr>
        <w:spacing w:before="468" w:beforeLines="150" w:after="468" w:afterLines="150" w:line="240" w:lineRule="auto"/>
        <w:jc w:val="center"/>
        <w:outlineLvl w:val="1"/>
        <w:rPr>
          <w:rFonts w:ascii="华文中宋" w:hAnsi="华文中宋" w:eastAsia="华文中宋" w:cs="华文中宋"/>
          <w:b/>
          <w:sz w:val="36"/>
          <w:szCs w:val="24"/>
          <w14:ligatures w14:val="none"/>
        </w:rPr>
      </w:pPr>
      <w:bookmarkStart w:id="34" w:name="_Toc7105"/>
      <w:bookmarkStart w:id="35" w:name="_Toc397753428"/>
      <w:bookmarkStart w:id="36" w:name="_Toc6400"/>
      <w:bookmarkStart w:id="37" w:name="_Toc15245"/>
      <w:bookmarkStart w:id="38" w:name="_Toc8660"/>
      <w:r>
        <w:rPr>
          <w:rFonts w:ascii="华文中宋" w:hAnsi="华文中宋" w:eastAsia="华文中宋" w:cs="华文中宋"/>
          <w:b/>
          <w:sz w:val="36"/>
          <w:szCs w:val="24"/>
          <w14:ligatures w14:val="none"/>
        </w:rPr>
        <w:t>第三章 主要任务</w:t>
      </w:r>
      <w:bookmarkEnd w:id="34"/>
      <w:bookmarkEnd w:id="35"/>
      <w:bookmarkEnd w:id="36"/>
      <w:bookmarkEnd w:id="37"/>
      <w:bookmarkEnd w:id="38"/>
    </w:p>
    <w:p>
      <w:pPr>
        <w:keepNext/>
        <w:keepLines/>
        <w:spacing w:before="468" w:beforeLines="150" w:after="468" w:afterLines="150" w:line="240" w:lineRule="auto"/>
        <w:jc w:val="center"/>
        <w:outlineLvl w:val="2"/>
        <w:rPr>
          <w:rFonts w:ascii="Times New Roman" w:hAnsi="Times New Roman" w:eastAsia="黑体" w:cs="Times New Roman"/>
          <w:bCs/>
          <w:sz w:val="32"/>
          <w:szCs w:val="24"/>
          <w14:ligatures w14:val="none"/>
        </w:rPr>
      </w:pPr>
      <w:bookmarkStart w:id="39" w:name="_Toc20417"/>
      <w:bookmarkStart w:id="40" w:name="_Toc1974475082"/>
      <w:bookmarkStart w:id="41" w:name="_Toc6881"/>
      <w:bookmarkStart w:id="42" w:name="_Toc26708"/>
      <w:bookmarkStart w:id="43" w:name="_Toc15088"/>
      <w:r>
        <w:rPr>
          <w:rFonts w:ascii="Times New Roman" w:hAnsi="Times New Roman" w:eastAsia="黑体" w:cs="Times New Roman"/>
          <w:bCs/>
          <w:sz w:val="32"/>
          <w:szCs w:val="24"/>
          <w14:ligatures w14:val="none"/>
        </w:rPr>
        <w:t>一、健全公平可持续的多层次医疗保障体系</w:t>
      </w:r>
      <w:bookmarkEnd w:id="39"/>
      <w:bookmarkEnd w:id="40"/>
      <w:bookmarkEnd w:id="41"/>
      <w:bookmarkEnd w:id="42"/>
      <w:bookmarkEnd w:id="43"/>
    </w:p>
    <w:p>
      <w:pPr>
        <w:widowControl/>
        <w:spacing w:line="240" w:lineRule="auto"/>
        <w:ind w:firstLine="643" w:firstLineChars="200"/>
        <w:jc w:val="left"/>
        <w:rPr>
          <w:rFonts w:ascii="Times New Roman" w:hAnsi="Times New Roman" w:eastAsia="仿宋_GB2312" w:cs="Times New Roman"/>
          <w:kern w:val="0"/>
          <w:sz w:val="32"/>
          <w:szCs w:val="32"/>
          <w14:ligatures w14:val="none"/>
        </w:rPr>
      </w:pPr>
      <w:r>
        <w:rPr>
          <w:rFonts w:ascii="楷体" w:hAnsi="楷体" w:eastAsia="楷体" w:cs="楷体"/>
          <w:b/>
          <w:kern w:val="0"/>
          <w:sz w:val="32"/>
          <w:szCs w:val="32"/>
          <w14:ligatures w14:val="none"/>
        </w:rPr>
        <w:t>（一）夯实基本医保主体保障功能。</w:t>
      </w:r>
      <w:r>
        <w:rPr>
          <w:rFonts w:ascii="Times New Roman" w:hAnsi="Times New Roman" w:eastAsia="仿宋_GB2312" w:cs="Times New Roman"/>
          <w:kern w:val="0"/>
          <w:sz w:val="32"/>
          <w:szCs w:val="32"/>
          <w14:ligatures w14:val="none"/>
        </w:rPr>
        <w:t>巩固基本医疗保险核心地位，全面落实医疗保障待遇清单制度，根据经济社会发展和基金承受能力动态调整待遇水平。落实职工医保门诊共济保障制度，拓宽个人账户使用范围，实现家庭共济和跨省共济。</w:t>
      </w:r>
    </w:p>
    <w:p>
      <w:pPr>
        <w:widowControl/>
        <w:spacing w:line="240" w:lineRule="auto"/>
        <w:ind w:firstLine="643" w:firstLineChars="200"/>
        <w:jc w:val="left"/>
        <w:rPr>
          <w:rFonts w:ascii="Times New Roman" w:hAnsi="Times New Roman" w:eastAsia="仿宋_GB2312" w:cs="Times New Roman"/>
          <w:kern w:val="0"/>
          <w:sz w:val="32"/>
          <w:szCs w:val="32"/>
          <w:shd w:val="clear" w:color="auto" w:fill="FFFFFF"/>
          <w14:ligatures w14:val="none"/>
        </w:rPr>
      </w:pPr>
      <w:r>
        <w:rPr>
          <w:rFonts w:ascii="楷体" w:hAnsi="楷体" w:eastAsia="楷体" w:cs="楷体"/>
          <w:b/>
          <w:kern w:val="0"/>
          <w:sz w:val="32"/>
          <w:szCs w:val="32"/>
          <w14:ligatures w14:val="none"/>
        </w:rPr>
        <w:t>（二）强化三重制度梯次减负格局。</w:t>
      </w:r>
      <w:r>
        <w:rPr>
          <w:rFonts w:ascii="Times New Roman" w:hAnsi="Times New Roman" w:eastAsia="仿宋_GB2312" w:cs="Times New Roman"/>
          <w:kern w:val="0"/>
          <w:sz w:val="32"/>
          <w:szCs w:val="32"/>
          <w14:ligatures w14:val="none"/>
        </w:rPr>
        <w:t>完善基本医疗保险、大病保险、医疗救助三重制度功能衔接，分别聚焦基本需求、高额费用减负和困难群众托底。完善重特大疾病医疗保险和救助机制，加大对农村低收入人口等困难群体保障力度。</w:t>
      </w:r>
      <w:r>
        <w:rPr>
          <w:rFonts w:ascii="Times New Roman" w:hAnsi="Times New Roman" w:eastAsia="仿宋_GB2312" w:cs="Times New Roman"/>
          <w:kern w:val="0"/>
          <w:sz w:val="32"/>
          <w:szCs w:val="32"/>
          <w:shd w:val="clear" w:color="auto" w:fill="FFFFFF"/>
          <w14:ligatures w14:val="none"/>
        </w:rPr>
        <w:t>健全高额医疗费用支出预警监测机制，加强医保与民政、农业农村等部门数据共享，主动识别救助对象。完善医疗救助“免申即享”，鼓励慈善捐赠、专项基金、医疗互助等社会力量参与，形成防范因病致贫返贫合力。</w:t>
      </w:r>
    </w:p>
    <w:p>
      <w:pPr>
        <w:widowControl/>
        <w:spacing w:line="240" w:lineRule="auto"/>
        <w:ind w:firstLine="643" w:firstLineChars="200"/>
        <w:rPr>
          <w:rFonts w:ascii="Times New Roman" w:hAnsi="Times New Roman" w:eastAsia="仿宋_GB2312" w:cs="Times New Roman"/>
          <w:kern w:val="0"/>
          <w:sz w:val="32"/>
          <w:szCs w:val="32"/>
          <w:shd w:val="clear" w:color="auto" w:fill="FFFFFF"/>
          <w14:ligatures w14:val="none"/>
        </w:rPr>
      </w:pPr>
      <w:r>
        <w:rPr>
          <w:rFonts w:ascii="楷体" w:hAnsi="楷体" w:eastAsia="楷体" w:cs="楷体"/>
          <w:b/>
          <w:kern w:val="0"/>
          <w:sz w:val="32"/>
          <w:szCs w:val="32"/>
          <w14:ligatures w14:val="none"/>
        </w:rPr>
        <w:t>（三）积极引导和规范发展商业健康保险。</w:t>
      </w:r>
      <w:r>
        <w:rPr>
          <w:rFonts w:ascii="Times New Roman" w:hAnsi="Times New Roman" w:eastAsia="仿宋_GB2312" w:cs="Times New Roman"/>
          <w:kern w:val="0"/>
          <w:sz w:val="32"/>
          <w:szCs w:val="32"/>
          <w14:ligatures w14:val="none"/>
        </w:rPr>
        <w:t>鼓励开发与基本医保衔接的健康保险产品，支持普惠型商业健康保险优化发展。规范商保机构承办大病保险业务，建立绩效评价机制。鼓励工会等开展职工医疗互助。</w:t>
      </w:r>
    </w:p>
    <w:p>
      <w:pPr>
        <w:widowControl/>
        <w:spacing w:line="240" w:lineRule="auto"/>
        <w:ind w:firstLine="643" w:firstLineChars="200"/>
        <w:jc w:val="left"/>
        <w:rPr>
          <w:rFonts w:ascii="楷体" w:hAnsi="楷体" w:eastAsia="楷体" w:cs="楷体"/>
          <w:b/>
          <w:bCs/>
          <w:kern w:val="0"/>
          <w:sz w:val="32"/>
          <w:szCs w:val="32"/>
          <w14:ligatures w14:val="none"/>
        </w:rPr>
      </w:pPr>
      <w:r>
        <w:rPr>
          <w:rFonts w:ascii="楷体" w:hAnsi="楷体" w:eastAsia="楷体" w:cs="楷体"/>
          <w:b/>
          <w:kern w:val="0"/>
          <w:sz w:val="32"/>
          <w:szCs w:val="32"/>
          <w:shd w:val="clear" w:color="auto" w:fill="FFFFFF"/>
          <w14:ligatures w14:val="none"/>
        </w:rPr>
        <w:t>（四）拓展特需与侨胞医疗保障服务。</w:t>
      </w:r>
      <w:r>
        <w:rPr>
          <w:rFonts w:ascii="Times New Roman" w:hAnsi="Times New Roman" w:eastAsia="仿宋_GB2312" w:cs="Times New Roman"/>
          <w:kern w:val="0"/>
          <w:sz w:val="32"/>
          <w:szCs w:val="32"/>
          <w:shd w:val="clear" w:color="auto" w:fill="FFFFFF"/>
          <w14:ligatures w14:val="none"/>
        </w:rPr>
        <w:t>结合潮州侨乡特点，</w:t>
      </w:r>
      <w:r>
        <w:rPr>
          <w:rFonts w:ascii="Times New Roman" w:hAnsi="Times New Roman" w:eastAsia="仿宋_GB2312" w:cs="Times New Roman"/>
          <w:bCs/>
          <w:kern w:val="0"/>
          <w:sz w:val="32"/>
          <w:szCs w:val="32"/>
          <w:shd w:val="clear" w:color="auto" w:fill="FFFFFF"/>
          <w14:ligatures w14:val="none"/>
        </w:rPr>
        <w:t>在坚持基本医疗保障主体地位的前提下，引导优质医疗资源在高端体检、疑难病症诊疗、康复护理、中医特色等领域适度发展特需服务，满足港澳台侨胞多层次就医需求。优化侨胞参保流程，探索便利化就医和跨境结算试点，打造“回乡就医”服务品牌。</w:t>
      </w:r>
    </w:p>
    <w:p>
      <w:pPr>
        <w:widowControl/>
        <w:spacing w:line="240" w:lineRule="auto"/>
        <w:ind w:firstLine="643" w:firstLineChars="200"/>
        <w:jc w:val="left"/>
        <w:rPr>
          <w:rFonts w:ascii="Times New Roman" w:hAnsi="Times New Roman" w:eastAsia="仿宋_GB2312" w:cs="Times New Roman"/>
          <w:kern w:val="0"/>
          <w:sz w:val="32"/>
          <w:szCs w:val="32"/>
          <w:shd w:val="clear" w:color="auto" w:fill="FFFFFF"/>
          <w14:ligatures w14:val="none"/>
        </w:rPr>
      </w:pPr>
      <w:r>
        <w:rPr>
          <w:rFonts w:ascii="楷体" w:hAnsi="楷体" w:eastAsia="楷体" w:cs="楷体"/>
          <w:b/>
          <w:bCs/>
          <w:kern w:val="0"/>
          <w:sz w:val="32"/>
          <w:szCs w:val="32"/>
          <w14:ligatures w14:val="none"/>
        </w:rPr>
        <w:t>（五）完善生育支持政策体系。</w:t>
      </w:r>
      <w:r>
        <w:rPr>
          <w:rFonts w:ascii="Times New Roman" w:hAnsi="Times New Roman" w:eastAsia="仿宋_GB2312" w:cs="Times New Roman"/>
          <w:kern w:val="0"/>
          <w:sz w:val="32"/>
          <w:szCs w:val="32"/>
          <w:shd w:val="clear" w:color="auto" w:fill="FFFFFF"/>
          <w14:ligatures w14:val="none"/>
        </w:rPr>
        <w:t>持续巩固职工生育保险参保覆盖面，探索将灵活就业人员、农民工、新就业形态人员纳入生育保险覆盖范围，落实失业人员由失业保险基金代缴生育保险费工作。优化生育医疗费用保障，稳步提高产检、住院分娩保障水平，按规定将辅助生</w:t>
      </w:r>
      <w:r>
        <w:rPr>
          <w:rFonts w:ascii="Times New Roman" w:hAnsi="Times New Roman" w:eastAsia="仿宋_GB2312" w:cs="Times New Roman"/>
          <w:color w:val="auto"/>
          <w:kern w:val="0"/>
          <w:sz w:val="32"/>
          <w:szCs w:val="32"/>
          <w:shd w:val="clear" w:color="auto" w:fill="FFFFFF"/>
          <w14:ligatures w14:val="none"/>
        </w:rPr>
        <w:t>殖</w:t>
      </w:r>
      <w:r>
        <w:rPr>
          <w:rFonts w:hint="eastAsia" w:ascii="Times New Roman" w:hAnsi="Times New Roman" w:eastAsia="仿宋_GB2312" w:cs="Times New Roman"/>
          <w:color w:val="auto"/>
          <w:kern w:val="0"/>
          <w:sz w:val="32"/>
          <w:szCs w:val="32"/>
          <w:shd w:val="clear" w:color="auto" w:fill="FFFFFF"/>
          <w14:ligatures w14:val="none"/>
        </w:rPr>
        <w:t>相关项目</w:t>
      </w:r>
      <w:r>
        <w:rPr>
          <w:rFonts w:ascii="Times New Roman" w:hAnsi="Times New Roman" w:eastAsia="仿宋_GB2312" w:cs="Times New Roman"/>
          <w:kern w:val="0"/>
          <w:sz w:val="32"/>
          <w:szCs w:val="32"/>
          <w:shd w:val="clear" w:color="auto" w:fill="FFFFFF"/>
          <w14:ligatures w14:val="none"/>
        </w:rPr>
        <w:t>纳入支付范围。规范生育津贴管理，优化直接发放至个人的经办服务。</w:t>
      </w:r>
    </w:p>
    <w:p>
      <w:pPr>
        <w:keepNext/>
        <w:keepLines/>
        <w:numPr>
          <w:ilvl w:val="255"/>
          <w:numId w:val="0"/>
        </w:numPr>
        <w:spacing w:before="468" w:beforeLines="150" w:after="468" w:afterLines="150" w:line="240" w:lineRule="auto"/>
        <w:jc w:val="center"/>
        <w:outlineLvl w:val="2"/>
        <w:rPr>
          <w:rFonts w:ascii="黑体" w:hAnsi="黑体" w:eastAsia="黑体" w:cs="黑体"/>
          <w:bCs/>
          <w:sz w:val="32"/>
          <w:szCs w:val="24"/>
          <w14:ligatures w14:val="none"/>
        </w:rPr>
      </w:pPr>
      <w:bookmarkStart w:id="44" w:name="_Toc5771"/>
      <w:bookmarkStart w:id="45" w:name="_Toc12736"/>
      <w:bookmarkStart w:id="46" w:name="_Toc373308589"/>
      <w:bookmarkStart w:id="47" w:name="_Toc12257"/>
      <w:bookmarkStart w:id="48" w:name="_Toc22657"/>
      <w:r>
        <w:rPr>
          <w:rFonts w:ascii="黑体" w:hAnsi="黑体" w:eastAsia="黑体" w:cs="黑体"/>
          <w:bCs/>
          <w:sz w:val="32"/>
          <w:szCs w:val="24"/>
          <w14:ligatures w14:val="none"/>
        </w:rPr>
        <w:t>二、健全稳健持续的筹资运行机制</w:t>
      </w:r>
      <w:bookmarkEnd w:id="44"/>
      <w:bookmarkEnd w:id="45"/>
      <w:bookmarkEnd w:id="46"/>
      <w:bookmarkEnd w:id="47"/>
      <w:bookmarkEnd w:id="48"/>
    </w:p>
    <w:p>
      <w:pPr>
        <w:widowControl/>
        <w:spacing w:line="240" w:lineRule="auto"/>
        <w:ind w:firstLine="643" w:firstLineChars="200"/>
        <w:jc w:val="left"/>
        <w:rPr>
          <w:rFonts w:ascii="Times New Roman" w:hAnsi="Times New Roman" w:eastAsia="仿宋_GB2312" w:cs="Times New Roman"/>
          <w:kern w:val="0"/>
          <w:sz w:val="32"/>
          <w:szCs w:val="32"/>
          <w14:ligatures w14:val="none"/>
        </w:rPr>
      </w:pPr>
      <w:r>
        <w:rPr>
          <w:rFonts w:ascii="楷体" w:hAnsi="楷体" w:eastAsia="楷体" w:cs="楷体"/>
          <w:b/>
          <w:kern w:val="0"/>
          <w:sz w:val="32"/>
          <w:szCs w:val="32"/>
          <w14:ligatures w14:val="none"/>
        </w:rPr>
        <w:t>（一）实施精准参保扩面。</w:t>
      </w:r>
      <w:r>
        <w:rPr>
          <w:rFonts w:ascii="Times New Roman" w:hAnsi="Times New Roman" w:eastAsia="仿宋_GB2312" w:cs="Times New Roman"/>
          <w:kern w:val="0"/>
          <w:sz w:val="32"/>
          <w:szCs w:val="32"/>
          <w14:ligatures w14:val="none"/>
        </w:rPr>
        <w:t>巩固“政府主导、部门联动、乡镇落实、村居协同”的三级联动机制，依托全民参保数据库，深化“数据找人”策略，建立“一人一档”动态管理台账，聚焦大学生、新业态从业者、灵活就业人员、流动人口及新生儿等重点群体分类施策。加强与税务、教育、人社等部门数据共享与业务协同，确保基本医保参保率稳定在95%左右。</w:t>
      </w:r>
    </w:p>
    <w:p>
      <w:pPr>
        <w:widowControl/>
        <w:spacing w:line="240" w:lineRule="auto"/>
        <w:ind w:firstLine="643" w:firstLineChars="200"/>
        <w:jc w:val="left"/>
        <w:rPr>
          <w:rFonts w:ascii="Times New Roman" w:hAnsi="Times New Roman" w:eastAsia="仿宋_GB2312" w:cs="Times New Roman"/>
          <w:kern w:val="0"/>
          <w:sz w:val="32"/>
          <w:szCs w:val="32"/>
          <w14:ligatures w14:val="none"/>
        </w:rPr>
      </w:pPr>
      <w:r>
        <w:rPr>
          <w:rFonts w:ascii="楷体" w:hAnsi="楷体" w:eastAsia="楷体" w:cs="楷体"/>
          <w:b/>
          <w:kern w:val="0"/>
          <w:sz w:val="32"/>
          <w:szCs w:val="32"/>
          <w14:ligatures w14:val="none"/>
        </w:rPr>
        <w:t>（二）优化筹资结构责任。</w:t>
      </w:r>
      <w:r>
        <w:rPr>
          <w:rFonts w:ascii="Times New Roman" w:hAnsi="Times New Roman" w:eastAsia="仿宋_GB2312" w:cs="Times New Roman"/>
          <w:bCs/>
          <w:kern w:val="0"/>
          <w:sz w:val="32"/>
          <w:szCs w:val="32"/>
          <w14:ligatures w14:val="none"/>
        </w:rPr>
        <w:t>在省级政策框架下，探索建立与居民人均可支配收入挂钩的个人缴费动态调整机制，保持财政补助与个人缴费合理比例。全面落实对</w:t>
      </w:r>
      <w:r>
        <w:rPr>
          <w:rFonts w:ascii="Times New Roman" w:hAnsi="Times New Roman" w:eastAsia="仿宋_GB2312" w:cs="Times New Roman"/>
          <w:kern w:val="0"/>
          <w:sz w:val="32"/>
          <w:szCs w:val="32"/>
          <w14:ligatures w14:val="none"/>
        </w:rPr>
        <w:t>困难群众的参保分类资助政策，确保应保尽保。落实失业保险基金代缴领取失业保险金人员职工医保费政策。完善职工医保个人账户家庭共济功能，支持个人账户资金用于支付</w:t>
      </w:r>
      <w:r>
        <w:rPr>
          <w:rFonts w:hint="eastAsia" w:ascii="Times New Roman" w:hAnsi="Times New Roman" w:eastAsia="仿宋_GB2312" w:cs="Times New Roman"/>
          <w:color w:val="auto"/>
          <w:kern w:val="0"/>
          <w:sz w:val="32"/>
          <w:szCs w:val="32"/>
          <w14:ligatures w14:val="none"/>
        </w:rPr>
        <w:t>本人及其近亲属</w:t>
      </w:r>
      <w:r>
        <w:rPr>
          <w:rFonts w:ascii="Times New Roman" w:hAnsi="Times New Roman" w:eastAsia="仿宋_GB2312" w:cs="Times New Roman"/>
          <w:kern w:val="0"/>
          <w:sz w:val="32"/>
          <w:szCs w:val="32"/>
          <w14:ligatures w14:val="none"/>
        </w:rPr>
        <w:t>参加居民医保的个人缴费。</w:t>
      </w:r>
    </w:p>
    <w:p>
      <w:pPr>
        <w:widowControl/>
        <w:spacing w:line="240" w:lineRule="auto"/>
        <w:ind w:firstLine="643" w:firstLineChars="200"/>
        <w:jc w:val="left"/>
        <w:rPr>
          <w:rFonts w:ascii="Times New Roman" w:hAnsi="Times New Roman" w:eastAsia="仿宋_GB2312" w:cs="Times New Roman"/>
          <w:kern w:val="0"/>
          <w:sz w:val="32"/>
          <w:szCs w:val="32"/>
          <w14:ligatures w14:val="none"/>
        </w:rPr>
      </w:pPr>
      <w:r>
        <w:rPr>
          <w:rFonts w:ascii="楷体" w:hAnsi="楷体" w:eastAsia="楷体" w:cs="楷体"/>
          <w:b/>
          <w:kern w:val="0"/>
          <w:sz w:val="32"/>
          <w:szCs w:val="32"/>
          <w14:ligatures w14:val="none"/>
        </w:rPr>
        <w:t>（三）健全激励约束政策。</w:t>
      </w:r>
      <w:r>
        <w:rPr>
          <w:rFonts w:ascii="Times New Roman" w:hAnsi="Times New Roman" w:eastAsia="仿宋_GB2312" w:cs="Times New Roman"/>
          <w:kern w:val="0"/>
          <w:sz w:val="32"/>
          <w:szCs w:val="32"/>
          <w14:ligatures w14:val="none"/>
        </w:rPr>
        <w:t>完善连续参保激励机制，对连续缴费满一定年限的参保人员适当提高大病保险支付限额，探索对年度零报销人员实施正向激励。严格执行中断缴费待遇等待期政策，形成“连续缴费受益、中断缴费受限”的明确预期。协同税务部门完善参保缴费提醒服务，引导形成稳定连续的参保缴费习惯。</w:t>
      </w:r>
    </w:p>
    <w:p>
      <w:pPr>
        <w:widowControl/>
        <w:spacing w:after="100" w:line="240" w:lineRule="auto"/>
        <w:ind w:firstLine="643" w:firstLineChars="200"/>
        <w:jc w:val="left"/>
        <w:rPr>
          <w:rFonts w:ascii="Times New Roman" w:hAnsi="Times New Roman" w:eastAsia="仿宋_GB2312" w:cs="Times New Roman"/>
          <w:kern w:val="0"/>
          <w:sz w:val="32"/>
          <w:szCs w:val="32"/>
          <w14:ligatures w14:val="none"/>
        </w:rPr>
      </w:pPr>
      <w:r>
        <w:rPr>
          <w:rFonts w:ascii="楷体" w:hAnsi="楷体" w:eastAsia="楷体" w:cs="楷体"/>
          <w:b/>
          <w:kern w:val="0"/>
          <w:sz w:val="32"/>
          <w:szCs w:val="32"/>
          <w14:ligatures w14:val="none"/>
        </w:rPr>
        <w:t>（四）提升参保缴费便利。</w:t>
      </w:r>
      <w:r>
        <w:rPr>
          <w:rFonts w:ascii="Times New Roman" w:hAnsi="Times New Roman" w:eastAsia="仿宋_GB2312" w:cs="Times New Roman"/>
          <w:kern w:val="0"/>
          <w:sz w:val="32"/>
          <w:szCs w:val="32"/>
          <w14:ligatures w14:val="none"/>
        </w:rPr>
        <w:t>持续扩容线上缴费渠道，深化“粤医保”“粤税通”等平台应用，实现参保登记、信息查询、缴费“一网通办”。针对老年人、残疾人等特殊群体，提供上门办理、代办等暖心服务。</w:t>
      </w:r>
    </w:p>
    <w:p>
      <w:pPr>
        <w:keepNext/>
        <w:keepLines/>
        <w:numPr>
          <w:ilvl w:val="255"/>
          <w:numId w:val="0"/>
        </w:numPr>
        <w:spacing w:before="468" w:beforeLines="150" w:after="468" w:afterLines="150" w:line="240" w:lineRule="auto"/>
        <w:jc w:val="center"/>
        <w:outlineLvl w:val="2"/>
        <w:rPr>
          <w:rFonts w:ascii="黑体" w:hAnsi="黑体" w:eastAsia="黑体" w:cs="黑体"/>
          <w:bCs/>
          <w:sz w:val="32"/>
          <w:szCs w:val="24"/>
          <w14:ligatures w14:val="none"/>
        </w:rPr>
      </w:pPr>
      <w:bookmarkStart w:id="49" w:name="_Toc340458337"/>
      <w:bookmarkStart w:id="50" w:name="_Toc30592"/>
      <w:bookmarkStart w:id="51" w:name="_Toc3865"/>
      <w:bookmarkStart w:id="52" w:name="_Toc4808"/>
      <w:bookmarkStart w:id="53" w:name="_Toc18688"/>
      <w:r>
        <w:rPr>
          <w:rFonts w:ascii="黑体" w:hAnsi="黑体" w:eastAsia="黑体" w:cs="黑体"/>
          <w:bCs/>
          <w:sz w:val="32"/>
          <w:szCs w:val="24"/>
          <w14:ligatures w14:val="none"/>
        </w:rPr>
        <w:t>三、建立统一规范的长期护理保险制度</w:t>
      </w:r>
      <w:bookmarkEnd w:id="49"/>
    </w:p>
    <w:p>
      <w:pPr>
        <w:spacing w:line="240" w:lineRule="auto"/>
        <w:ind w:firstLine="643" w:firstLineChars="200"/>
        <w:rPr>
          <w:rFonts w:ascii="仿宋_GB2312" w:hAnsi="仿宋_GB2312" w:eastAsia="仿宋_GB2312" w:cs="仿宋_GB2312"/>
          <w:sz w:val="32"/>
          <w:szCs w:val="32"/>
          <w14:ligatures w14:val="none"/>
        </w:rPr>
      </w:pPr>
      <w:r>
        <w:rPr>
          <w:rFonts w:ascii="楷体_GB2312" w:hAnsi="楷体_GB2312" w:eastAsia="楷体_GB2312" w:cs="楷体_GB2312"/>
          <w:b/>
          <w:bCs/>
          <w:sz w:val="32"/>
          <w:szCs w:val="32"/>
          <w14:ligatures w14:val="none"/>
        </w:rPr>
        <w:t>（一）全面建立长期护理保险制度。</w:t>
      </w:r>
      <w:r>
        <w:rPr>
          <w:rFonts w:ascii="仿宋_GB2312" w:hAnsi="仿宋_GB2312" w:eastAsia="仿宋_GB2312" w:cs="仿宋_GB2312"/>
          <w:sz w:val="32"/>
          <w:szCs w:val="32"/>
          <w14:ligatures w14:val="none"/>
        </w:rPr>
        <w:t>按照独立险种单独建制，加快建立覆盖全民、统筹城乡、可持续的长期护理保险制度。健全多渠道筹资机制，对困难人群参保个人缴费部分给予资助。长护险基金纳入社会保障基金财政专户管理，单独建账、专款专用，职工和居民统一制度、基金统筹使用。</w:t>
      </w:r>
    </w:p>
    <w:p>
      <w:pPr>
        <w:numPr>
          <w:ilvl w:val="255"/>
          <w:numId w:val="0"/>
        </w:numPr>
        <w:spacing w:line="240" w:lineRule="auto"/>
        <w:ind w:firstLine="643" w:firstLineChars="200"/>
        <w:rPr>
          <w:rFonts w:ascii="仿宋_GB2312" w:hAnsi="仿宋_GB2312" w:eastAsia="仿宋_GB2312" w:cs="仿宋_GB2312"/>
          <w:sz w:val="32"/>
          <w:szCs w:val="32"/>
          <w14:ligatures w14:val="none"/>
        </w:rPr>
      </w:pPr>
      <w:r>
        <w:rPr>
          <w:rFonts w:ascii="楷体_GB2312" w:hAnsi="楷体_GB2312" w:eastAsia="楷体_GB2312" w:cs="楷体_GB2312"/>
          <w:b/>
          <w:bCs/>
          <w:sz w:val="32"/>
          <w:szCs w:val="32"/>
          <w14:ligatures w14:val="none"/>
        </w:rPr>
        <w:t>（二）构建公平适度的待遇保障机制</w:t>
      </w:r>
      <w:r>
        <w:rPr>
          <w:rFonts w:ascii="仿宋_GB2312" w:hAnsi="仿宋_GB2312" w:eastAsia="仿宋_GB2312" w:cs="仿宋_GB2312"/>
          <w:sz w:val="32"/>
          <w:szCs w:val="32"/>
          <w14:ligatures w14:val="none"/>
        </w:rPr>
        <w:t>。合理确定保障范围和支付水平，优先保障重度失能人员，并向居</w:t>
      </w:r>
      <w:r>
        <w:rPr>
          <w:rFonts w:ascii="仿宋_GB2312" w:hAnsi="仿宋_GB2312" w:eastAsia="仿宋_GB2312" w:cs="仿宋_GB2312"/>
          <w:color w:val="auto"/>
          <w:sz w:val="32"/>
          <w:szCs w:val="32"/>
          <w14:ligatures w14:val="none"/>
        </w:rPr>
        <w:t>家</w:t>
      </w:r>
      <w:r>
        <w:rPr>
          <w:rFonts w:hint="eastAsia" w:ascii="仿宋_GB2312" w:hAnsi="仿宋_GB2312" w:eastAsia="仿宋_GB2312" w:cs="仿宋_GB2312"/>
          <w:color w:val="auto"/>
          <w:sz w:val="32"/>
          <w:szCs w:val="32"/>
          <w:lang w:eastAsia="zh-CN"/>
          <w14:ligatures w14:val="none"/>
        </w:rPr>
        <w:t>、社区护理服务</w:t>
      </w:r>
      <w:r>
        <w:rPr>
          <w:rFonts w:ascii="仿宋_GB2312" w:hAnsi="仿宋_GB2312" w:eastAsia="仿宋_GB2312" w:cs="仿宋_GB2312"/>
          <w:sz w:val="32"/>
          <w:szCs w:val="32"/>
          <w14:ligatures w14:val="none"/>
        </w:rPr>
        <w:t>倾斜。随经济社会发展和制度保障能力提高，稳步扩大保障范围。做好与经济困难失能老年人补贴以及重度残疾人护理补贴等政策的衔接。</w:t>
      </w:r>
      <w:r>
        <w:rPr>
          <w:rFonts w:ascii="Times New Roman" w:hAnsi="Times New Roman" w:eastAsia="仿宋_GB2312" w:cs="Times New Roman"/>
          <w:sz w:val="32"/>
          <w:szCs w:val="32"/>
          <w14:ligatures w14:val="none"/>
        </w:rPr>
        <w:t>2027</w:t>
      </w:r>
      <w:r>
        <w:rPr>
          <w:rFonts w:ascii="仿宋_GB2312" w:hAnsi="仿宋_GB2312" w:eastAsia="仿宋_GB2312" w:cs="仿宋_GB2312"/>
          <w:sz w:val="32"/>
          <w:szCs w:val="32"/>
          <w14:ligatures w14:val="none"/>
        </w:rPr>
        <w:t>年实现长期护理保险人群全覆盖，并推动制度平稳运行，</w:t>
      </w:r>
      <w:r>
        <w:rPr>
          <w:rFonts w:ascii="Times New Roman" w:hAnsi="Times New Roman" w:eastAsia="仿宋_GB2312" w:cs="Times New Roman"/>
          <w:sz w:val="32"/>
          <w:szCs w:val="32"/>
          <w14:ligatures w14:val="none"/>
        </w:rPr>
        <w:t>2030</w:t>
      </w:r>
      <w:r>
        <w:rPr>
          <w:rFonts w:ascii="仿宋_GB2312" w:hAnsi="仿宋_GB2312" w:eastAsia="仿宋_GB2312" w:cs="仿宋_GB2312"/>
          <w:sz w:val="32"/>
          <w:szCs w:val="32"/>
          <w14:ligatures w14:val="none"/>
        </w:rPr>
        <w:t>年形成多层次护理保障生态圈，初步搭建依托长期护理保险制度的相关产业，构建具有长期护理保险特色的银发经济。</w:t>
      </w:r>
    </w:p>
    <w:p>
      <w:pPr>
        <w:numPr>
          <w:ilvl w:val="255"/>
          <w:numId w:val="0"/>
        </w:numPr>
        <w:spacing w:line="240" w:lineRule="auto"/>
        <w:ind w:firstLine="643" w:firstLineChars="200"/>
        <w:rPr>
          <w:rFonts w:ascii="仿宋_GB2312" w:hAnsi="仿宋_GB2312" w:eastAsia="仿宋_GB2312" w:cs="仿宋_GB2312"/>
          <w:sz w:val="32"/>
          <w:szCs w:val="32"/>
          <w14:ligatures w14:val="none"/>
        </w:rPr>
      </w:pPr>
      <w:r>
        <w:rPr>
          <w:rFonts w:ascii="楷体_GB2312" w:hAnsi="楷体_GB2312" w:eastAsia="楷体_GB2312" w:cs="楷体_GB2312"/>
          <w:b/>
          <w:bCs/>
          <w:sz w:val="32"/>
          <w:szCs w:val="32"/>
          <w14:ligatures w14:val="none"/>
        </w:rPr>
        <w:t>（三）加强长期护理保险评估与服务质量管理。</w:t>
      </w:r>
      <w:r>
        <w:rPr>
          <w:rFonts w:ascii="仿宋_GB2312" w:hAnsi="仿宋_GB2312" w:eastAsia="仿宋_GB2312" w:cs="仿宋_GB2312"/>
          <w:sz w:val="32"/>
          <w:szCs w:val="32"/>
          <w14:ligatures w14:val="none"/>
        </w:rPr>
        <w:t>落实国家失能等级评估标准和长护险服务项目目录，规范评估管理，鼓励发展专业独立的社会化评估机构。加强护理服务机构定点管理，建立符合长护险特点的支付机制和协商谈判机制。完善服务质量评价机制和费用控制激励约束机制，健全长期照护师培训培养机制。</w:t>
      </w:r>
    </w:p>
    <w:p>
      <w:pPr>
        <w:spacing w:line="240" w:lineRule="auto"/>
        <w:ind w:firstLine="643" w:firstLineChars="200"/>
        <w:rPr>
          <w:rFonts w:ascii="仿宋_GB2312" w:hAnsi="仿宋_GB2312" w:eastAsia="仿宋_GB2312" w:cs="仿宋_GB2312"/>
          <w:sz w:val="32"/>
          <w:szCs w:val="32"/>
          <w14:ligatures w14:val="none"/>
        </w:rPr>
      </w:pPr>
      <w:r>
        <w:rPr>
          <w:rFonts w:ascii="楷体_GB2312" w:hAnsi="楷体_GB2312" w:eastAsia="楷体_GB2312" w:cs="楷体_GB2312"/>
          <w:b/>
          <w:bCs/>
          <w:sz w:val="32"/>
          <w:szCs w:val="32"/>
          <w14:ligatures w14:val="none"/>
        </w:rPr>
        <w:t>（四）完善长期护理保险经办服务管理体系。</w:t>
      </w:r>
      <w:r>
        <w:rPr>
          <w:rFonts w:hint="eastAsia" w:ascii="仿宋_GB2312" w:hAnsi="仿宋_GB2312" w:eastAsia="仿宋_GB2312" w:cs="仿宋_GB2312"/>
          <w:color w:val="auto"/>
          <w:sz w:val="32"/>
          <w:szCs w:val="32"/>
          <w14:ligatures w14:val="none"/>
        </w:rPr>
        <w:t>坚持政府主导，构建以政府经办为基础、以社会力量为补充的经办管理服务体制机制。</w:t>
      </w:r>
      <w:r>
        <w:rPr>
          <w:rFonts w:ascii="仿宋_GB2312" w:hAnsi="仿宋_GB2312" w:eastAsia="仿宋_GB2312" w:cs="仿宋_GB2312"/>
          <w:sz w:val="32"/>
          <w:szCs w:val="32"/>
          <w14:ligatures w14:val="none"/>
        </w:rPr>
        <w:t>创新经办运行管理机制，完善第三方机构等社会力量参与长期护理保险经办管理有关机制。加强长期护理保险经办队伍能力建设，提升经办服务的标准性、规范性。引导长期护理服务下沉，提升居家、社区照护服务的可及性和可适性。按照国家、省有关规定执行省内异地长期护理服务。强化定点评估机构和长期护理保险定点服务机构协议管理、核查考核、费用审核结算、信息系统建设，强化对商保公司等第三方机构的考核评价、激励约束机制。深化长期护理保险子系统应用，推动数字化赋能。</w:t>
      </w:r>
    </w:p>
    <w:p>
      <w:pPr>
        <w:spacing w:line="240" w:lineRule="auto"/>
        <w:ind w:firstLine="643" w:firstLineChars="200"/>
        <w:rPr>
          <w:rFonts w:ascii="仿宋_GB2312" w:hAnsi="仿宋_GB2312" w:eastAsia="仿宋_GB2312" w:cs="仿宋_GB2312"/>
          <w:sz w:val="32"/>
          <w:szCs w:val="32"/>
          <w14:ligatures w14:val="none"/>
        </w:rPr>
      </w:pPr>
      <w:r>
        <w:rPr>
          <w:rFonts w:ascii="楷体_GB2312" w:hAnsi="楷体_GB2312" w:eastAsia="楷体_GB2312" w:cs="楷体_GB2312"/>
          <w:b/>
          <w:bCs/>
          <w:sz w:val="32"/>
          <w:szCs w:val="32"/>
          <w14:ligatures w14:val="none"/>
        </w:rPr>
        <w:t>（五）推动建设多层次长期护理保障体系。</w:t>
      </w:r>
      <w:r>
        <w:rPr>
          <w:rFonts w:ascii="仿宋_GB2312" w:hAnsi="仿宋_GB2312" w:eastAsia="仿宋_GB2312" w:cs="仿宋_GB2312"/>
          <w:sz w:val="32"/>
          <w:szCs w:val="32"/>
          <w14:ligatures w14:val="none"/>
        </w:rPr>
        <w:t>支持商业保险机构开发商业长期护理保险产品，推动形成以政策性长护险为主体，惠民型商业护理保险为补充，其他商业护理保险、社会救助、社会福利有序衔接的多层次保障格局。</w:t>
      </w:r>
    </w:p>
    <w:p>
      <w:pPr>
        <w:keepNext/>
        <w:keepLines/>
        <w:numPr>
          <w:ilvl w:val="255"/>
          <w:numId w:val="0"/>
        </w:numPr>
        <w:spacing w:before="468" w:beforeLines="150" w:after="468" w:afterLines="150" w:line="240" w:lineRule="auto"/>
        <w:jc w:val="center"/>
        <w:outlineLvl w:val="2"/>
        <w:rPr>
          <w:rFonts w:ascii="黑体" w:hAnsi="黑体" w:eastAsia="黑体" w:cs="黑体"/>
          <w:bCs/>
          <w:sz w:val="32"/>
          <w:szCs w:val="24"/>
          <w14:ligatures w14:val="none"/>
        </w:rPr>
      </w:pPr>
      <w:bookmarkStart w:id="54" w:name="_Toc751314412"/>
      <w:r>
        <w:rPr>
          <w:rFonts w:ascii="黑体" w:hAnsi="黑体" w:eastAsia="黑体" w:cs="黑体"/>
          <w:bCs/>
          <w:sz w:val="32"/>
          <w:szCs w:val="24"/>
          <w14:ligatures w14:val="none"/>
        </w:rPr>
        <w:t>四、深化协同高效的医药服务改革</w:t>
      </w:r>
      <w:bookmarkEnd w:id="50"/>
      <w:bookmarkEnd w:id="51"/>
      <w:bookmarkEnd w:id="52"/>
      <w:bookmarkEnd w:id="53"/>
      <w:bookmarkEnd w:id="54"/>
    </w:p>
    <w:p>
      <w:pPr>
        <w:widowControl/>
        <w:spacing w:line="240" w:lineRule="auto"/>
        <w:ind w:firstLine="643" w:firstLineChars="200"/>
        <w:jc w:val="left"/>
        <w:rPr>
          <w:rFonts w:ascii="楷体" w:hAnsi="楷体" w:eastAsia="楷体" w:cs="楷体"/>
          <w:b/>
          <w:kern w:val="0"/>
          <w:sz w:val="32"/>
          <w:szCs w:val="32"/>
          <w14:ligatures w14:val="none"/>
        </w:rPr>
      </w:pPr>
      <w:r>
        <w:rPr>
          <w:rFonts w:ascii="楷体" w:hAnsi="楷体" w:eastAsia="楷体" w:cs="楷体"/>
          <w:b/>
          <w:kern w:val="0"/>
          <w:sz w:val="32"/>
          <w:szCs w:val="32"/>
          <w14:ligatures w14:val="none"/>
        </w:rPr>
        <w:t>（一）深化医保支付方式改革。</w:t>
      </w:r>
      <w:r>
        <w:rPr>
          <w:rFonts w:ascii="Times New Roman" w:hAnsi="Times New Roman" w:eastAsia="仿宋_GB2312" w:cs="Times New Roman"/>
          <w:bCs/>
          <w:kern w:val="0"/>
          <w:sz w:val="32"/>
          <w:szCs w:val="32"/>
          <w14:ligatures w14:val="none"/>
        </w:rPr>
        <w:t>全面推进按病种分值付费（DIP）改革，在国家和广东省分组方案基础上，完善符合本地疾病谱和医疗特点的分组与付费标准。加强病案首页质量管理，确保分组准确、付费合理。完善特例单议、预付金、数据工作组等配套机制，加强医保与医疗机构沟通协商。探索多元复合式支付，在DIP为主体的基础上，对精神病、康复治疗等长期住院服务推行按床日付费；紧密型县域医共体内探索门诊费用按人头打包付费，与家庭医生签约服务相结合，引导医共体主动做好健康管理和基层首诊，推动医疗机构从规模扩张向内涵提质转变。</w:t>
      </w:r>
    </w:p>
    <w:p>
      <w:pPr>
        <w:widowControl/>
        <w:spacing w:line="240" w:lineRule="auto"/>
        <w:ind w:firstLine="643" w:firstLineChars="200"/>
        <w:jc w:val="left"/>
        <w:rPr>
          <w:rFonts w:ascii="楷体" w:hAnsi="楷体" w:eastAsia="楷体" w:cs="楷体"/>
          <w:b/>
          <w:kern w:val="0"/>
          <w:sz w:val="32"/>
          <w:szCs w:val="32"/>
          <w14:ligatures w14:val="none"/>
        </w:rPr>
      </w:pPr>
      <w:r>
        <w:rPr>
          <w:rFonts w:ascii="楷体" w:hAnsi="楷体" w:eastAsia="楷体" w:cs="楷体"/>
          <w:b/>
          <w:kern w:val="0"/>
          <w:sz w:val="32"/>
          <w:szCs w:val="32"/>
          <w14:ligatures w14:val="none"/>
        </w:rPr>
        <w:t>（二）强化医药价格与招采治理。</w:t>
      </w:r>
      <w:r>
        <w:rPr>
          <w:rFonts w:ascii="Times New Roman" w:hAnsi="Times New Roman" w:eastAsia="仿宋_GB2312" w:cs="Times New Roman"/>
          <w:bCs/>
          <w:kern w:val="0"/>
          <w:sz w:val="32"/>
          <w:szCs w:val="32"/>
          <w14:ligatures w14:val="none"/>
        </w:rPr>
        <w:t>严格执行国家、省组织药品和医用耗材集中带量采购中选结果，确保中选产品优先配备使用，落实采购协议量。完善集采药品耗材医保支付标准与采购价格协同机制，推动县域医共体实行药品耗材统一采购、配送和结算，重点降低高值医用耗材采购价格。依托医保信息平台强化招采管理子系统监管功能，建立全市定点医药机构价格监测网络，聚焦“同通用名、同厂家、同规格、同剂型”药品，实现价格信息动态采集、比对分析和异常预警，促进药品价格合理透明。</w:t>
      </w:r>
    </w:p>
    <w:p>
      <w:pPr>
        <w:widowControl/>
        <w:spacing w:line="240" w:lineRule="auto"/>
        <w:ind w:firstLine="643" w:firstLineChars="200"/>
        <w:jc w:val="left"/>
        <w:rPr>
          <w:rFonts w:ascii="楷体" w:hAnsi="楷体" w:eastAsia="楷体" w:cs="楷体"/>
          <w:b/>
          <w:kern w:val="0"/>
          <w:sz w:val="32"/>
          <w:szCs w:val="32"/>
          <w14:ligatures w14:val="none"/>
        </w:rPr>
      </w:pPr>
      <w:r>
        <w:rPr>
          <w:rFonts w:ascii="楷体" w:hAnsi="楷体" w:eastAsia="楷体" w:cs="楷体"/>
          <w:b/>
          <w:kern w:val="0"/>
          <w:sz w:val="32"/>
          <w:szCs w:val="32"/>
          <w14:ligatures w14:val="none"/>
        </w:rPr>
        <w:t>（三）推动医疗服务协同与资源优化配置。</w:t>
      </w:r>
      <w:r>
        <w:rPr>
          <w:rFonts w:ascii="Times New Roman" w:hAnsi="Times New Roman" w:eastAsia="仿宋_GB2312" w:cs="Times New Roman"/>
          <w:bCs/>
          <w:kern w:val="0"/>
          <w:sz w:val="32"/>
          <w:szCs w:val="32"/>
          <w14:ligatures w14:val="none"/>
        </w:rPr>
        <w:t>全面落实医疗机构检查检验结果互认，以紧密型医联体为突破口，逐步扩大互认项目和机构范围，到2027年底实现全市互认项目超过190项，减少不必要重复检查。优化医保定点医药机构资源配置规划，结合区域卫生规划、人口分布、疾病谱及基金承受能力，科学评估并动态调整定点机构资源配置标准与布局，对供给相对饱和的区域优化存量、控制增量。</w:t>
      </w:r>
    </w:p>
    <w:p>
      <w:pPr>
        <w:widowControl/>
        <w:spacing w:line="240" w:lineRule="auto"/>
        <w:ind w:firstLine="643" w:firstLineChars="200"/>
        <w:jc w:val="left"/>
        <w:rPr>
          <w:rFonts w:ascii="Times New Roman" w:hAnsi="Times New Roman" w:eastAsia="仿宋_GB2312" w:cs="Times New Roman"/>
          <w:bCs/>
          <w:kern w:val="0"/>
          <w:sz w:val="32"/>
          <w:szCs w:val="32"/>
          <w14:ligatures w14:val="none"/>
        </w:rPr>
      </w:pPr>
      <w:r>
        <w:rPr>
          <w:rFonts w:ascii="楷体" w:hAnsi="楷体" w:eastAsia="楷体" w:cs="楷体"/>
          <w:b/>
          <w:kern w:val="0"/>
          <w:sz w:val="32"/>
          <w:szCs w:val="32"/>
          <w14:ligatures w14:val="none"/>
        </w:rPr>
        <w:t>（四）支持中医药传承创新与基层服务能力提升。</w:t>
      </w:r>
      <w:r>
        <w:rPr>
          <w:rFonts w:ascii="Times New Roman" w:hAnsi="Times New Roman" w:eastAsia="仿宋_GB2312" w:cs="Times New Roman"/>
          <w:bCs/>
          <w:kern w:val="0"/>
          <w:sz w:val="32"/>
          <w:szCs w:val="32"/>
          <w14:ligatures w14:val="none"/>
        </w:rPr>
        <w:t>落实医保支持中医药传承创新发展政策，将符合条件的中医诊疗项目、中药饮片和医疗机构中药制剂按规定纳入医保支付范围。探索完善符合中医药服务特点的医保支付方式和支付政策。</w:t>
      </w:r>
      <w:r>
        <w:rPr>
          <w:rFonts w:hint="eastAsia" w:ascii="Times New Roman" w:hAnsi="Times New Roman" w:eastAsia="仿宋_GB2312" w:cs="Times New Roman"/>
          <w:bCs/>
          <w:color w:val="auto"/>
          <w:kern w:val="0"/>
          <w:sz w:val="32"/>
          <w:szCs w:val="32"/>
          <w14:ligatures w14:val="none"/>
        </w:rPr>
        <w:t>强化医保政策对分级诊疗的引导作用，</w:t>
      </w:r>
      <w:r>
        <w:rPr>
          <w:rFonts w:ascii="Times New Roman" w:hAnsi="Times New Roman" w:eastAsia="仿宋_GB2312" w:cs="Times New Roman"/>
          <w:bCs/>
          <w:kern w:val="0"/>
          <w:sz w:val="32"/>
          <w:szCs w:val="32"/>
          <w14:ligatures w14:val="none"/>
        </w:rPr>
        <w:t>通过差异化报销比例、起付线及医共体打包付费等机制，引导参保患者有序就医，推动常见病、慢性病在县域内解决。将医保基金支付与基层医疗机构的服务绩效、家庭医生签约质量挂钩，支持“互联网+”复诊、处方流转和药品配送等服务向基层延伸，补齐护理、儿科、老年科、精神科等短板。</w:t>
      </w:r>
    </w:p>
    <w:p>
      <w:pPr>
        <w:widowControl/>
        <w:spacing w:line="240" w:lineRule="auto"/>
        <w:ind w:firstLine="643" w:firstLineChars="200"/>
        <w:jc w:val="left"/>
        <w:rPr>
          <w:rFonts w:ascii="Times New Roman" w:hAnsi="Times New Roman" w:eastAsia="仿宋_GB2312" w:cs="Times New Roman"/>
          <w:bCs/>
          <w:kern w:val="0"/>
          <w:sz w:val="32"/>
          <w:szCs w:val="32"/>
          <w14:ligatures w14:val="none"/>
        </w:rPr>
      </w:pPr>
      <w:r>
        <w:rPr>
          <w:rFonts w:ascii="楷体" w:hAnsi="楷体" w:eastAsia="楷体" w:cs="楷体"/>
          <w:b/>
          <w:kern w:val="0"/>
          <w:sz w:val="32"/>
          <w:szCs w:val="32"/>
          <w14:ligatures w14:val="none"/>
        </w:rPr>
        <w:t>（五）健全三医协同与价格管理机制。</w:t>
      </w:r>
      <w:r>
        <w:rPr>
          <w:rFonts w:hint="eastAsia" w:ascii="Times New Roman" w:hAnsi="Times New Roman" w:eastAsia="仿宋_GB2312" w:cs="Times New Roman"/>
          <w:bCs/>
          <w:kern w:val="0"/>
          <w:sz w:val="32"/>
          <w:szCs w:val="32"/>
          <w14:ligatures w14:val="none"/>
        </w:rPr>
        <w:t>探索建立医保、卫生健康、市场监管等多部门政策协同、信息联通、监管联动的工作机制，定期会商研究改革中的重大问题。</w:t>
      </w:r>
      <w:r>
        <w:rPr>
          <w:rFonts w:ascii="Times New Roman" w:hAnsi="Times New Roman" w:eastAsia="仿宋_GB2312" w:cs="Times New Roman"/>
          <w:bCs/>
          <w:kern w:val="0"/>
          <w:sz w:val="32"/>
          <w:szCs w:val="32"/>
          <w14:ligatures w14:val="none"/>
        </w:rPr>
        <w:t>建立健全医保基金与医药企业直接结算机制，依托省级采购平台，逐步将公立医疗机构采购的集采药品、国谈药等纳入直接结算范围。对标国家医疗服务价格项目立项指南，分类整合现行价格项目，在省最高限价范围内合理确定各级公立医疗机构政府指导价。建立“成本调查+专家论证+社会监督”三位一体的定价评估体系，综合考虑区域经济水平、医疗服务成本、群众承受能力等因素分层确定价格标准，加强对高价值服务项目及群众反映强烈项目的重点监测。</w:t>
      </w:r>
    </w:p>
    <w:p>
      <w:pPr>
        <w:keepNext/>
        <w:keepLines/>
        <w:spacing w:before="468" w:beforeLines="150" w:after="468" w:afterLines="150" w:line="240" w:lineRule="auto"/>
        <w:jc w:val="center"/>
        <w:outlineLvl w:val="2"/>
        <w:rPr>
          <w:rFonts w:ascii="Times New Roman" w:hAnsi="Times New Roman" w:eastAsia="黑体" w:cs="Times New Roman"/>
          <w:bCs/>
          <w:sz w:val="32"/>
          <w:szCs w:val="24"/>
          <w:lang w:bidi="ar"/>
          <w14:ligatures w14:val="none"/>
        </w:rPr>
      </w:pPr>
      <w:bookmarkStart w:id="55" w:name="_Toc16473"/>
      <w:bookmarkStart w:id="56" w:name="_Toc1135991652"/>
      <w:bookmarkStart w:id="57" w:name="_Toc4420"/>
      <w:bookmarkStart w:id="58" w:name="_Toc8052"/>
      <w:bookmarkStart w:id="59" w:name="_Toc14675"/>
      <w:r>
        <w:rPr>
          <w:rFonts w:ascii="Times New Roman" w:hAnsi="Times New Roman" w:eastAsia="黑体" w:cs="Times New Roman"/>
          <w:bCs/>
          <w:sz w:val="32"/>
          <w:szCs w:val="24"/>
          <w:lang w:bidi="ar"/>
          <w14:ligatures w14:val="none"/>
        </w:rPr>
        <w:t>五、健全严密有力的基金监管机制</w:t>
      </w:r>
      <w:bookmarkEnd w:id="55"/>
      <w:bookmarkEnd w:id="56"/>
      <w:bookmarkEnd w:id="57"/>
      <w:bookmarkEnd w:id="58"/>
      <w:bookmarkEnd w:id="59"/>
    </w:p>
    <w:p>
      <w:pPr>
        <w:widowControl/>
        <w:spacing w:line="240" w:lineRule="auto"/>
        <w:ind w:firstLine="643" w:firstLineChars="200"/>
        <w:jc w:val="left"/>
        <w:rPr>
          <w:rFonts w:ascii="Times New Roman" w:hAnsi="Times New Roman" w:eastAsia="仿宋_GB2312" w:cs="Times New Roman"/>
          <w:bCs/>
          <w:kern w:val="0"/>
          <w:sz w:val="32"/>
          <w:szCs w:val="32"/>
          <w14:ligatures w14:val="none"/>
        </w:rPr>
      </w:pPr>
      <w:r>
        <w:rPr>
          <w:rFonts w:ascii="楷体" w:hAnsi="楷体" w:eastAsia="楷体" w:cs="楷体"/>
          <w:b/>
          <w:kern w:val="0"/>
          <w:sz w:val="32"/>
          <w:szCs w:val="32"/>
          <w14:ligatures w14:val="none"/>
        </w:rPr>
        <w:t>（一）构建全流程智能监控体系。</w:t>
      </w:r>
      <w:r>
        <w:rPr>
          <w:rFonts w:ascii="Times New Roman" w:hAnsi="Times New Roman" w:eastAsia="仿宋_GB2312" w:cs="Times New Roman"/>
          <w:bCs/>
          <w:kern w:val="0"/>
          <w:sz w:val="32"/>
          <w:szCs w:val="32"/>
          <w14:ligatures w14:val="none"/>
        </w:rPr>
        <w:t>深化国家医保信息平台智能监控子系统在我市的应用与本地化改造，持续更新完善“规则库”与“知识库”，加强对诊疗、用药、收费等行为的全流程智能审核。全面部署药品追溯码体系，实现药品全链条可追溯。打通医保信息平台与医疗机构HIS系统数据接口，开发应用大数据反欺诈模型，推动监管从“事后追溯”向“事前预警、事中拦截”转变。加强对骨科、肿瘤、检查检验等重点领域的监管，利用大数据分析识别异常机构和病种进行重点稽核，强化医疗救助基金使用监管，确保救助资金精准用于救助对象。</w:t>
      </w:r>
    </w:p>
    <w:p>
      <w:pPr>
        <w:widowControl/>
        <w:spacing w:line="240" w:lineRule="auto"/>
        <w:ind w:firstLine="643" w:firstLineChars="200"/>
        <w:rPr>
          <w:rFonts w:ascii="Times New Roman" w:hAnsi="Times New Roman" w:eastAsia="仿宋_GB2312" w:cs="Times New Roman"/>
          <w:bCs/>
          <w:kern w:val="0"/>
          <w:sz w:val="32"/>
          <w:szCs w:val="32"/>
          <w14:ligatures w14:val="none"/>
        </w:rPr>
      </w:pPr>
      <w:r>
        <w:rPr>
          <w:rFonts w:ascii="楷体" w:hAnsi="楷体" w:eastAsia="楷体" w:cs="楷体"/>
          <w:b/>
          <w:kern w:val="0"/>
          <w:sz w:val="32"/>
          <w:szCs w:val="32"/>
          <w14:ligatures w14:val="none"/>
        </w:rPr>
        <w:t>（二）完善信用管理与医保支付资格管理制度。</w:t>
      </w:r>
      <w:r>
        <w:rPr>
          <w:rFonts w:ascii="Times New Roman" w:hAnsi="Times New Roman" w:eastAsia="仿宋_GB2312" w:cs="Times New Roman"/>
          <w:bCs/>
          <w:kern w:val="0"/>
          <w:sz w:val="32"/>
          <w:szCs w:val="32"/>
          <w14:ligatures w14:val="none"/>
        </w:rPr>
        <w:t>建立覆盖定点医药机构、医保医师、药师、参保人员等全主体的信用管理体系，实施分级分类监管，将信用评价结果与预算管理、协议续签等直接挂钩。全面推行医保支付资格管理，根据违规行为性质和严重程度采取约谈警示、暂停结算、中止或终止服务协议等递进式惩戒措施。</w:t>
      </w:r>
    </w:p>
    <w:p>
      <w:pPr>
        <w:widowControl/>
        <w:spacing w:line="240" w:lineRule="auto"/>
        <w:ind w:firstLine="643" w:firstLineChars="200"/>
        <w:jc w:val="left"/>
        <w:rPr>
          <w:rFonts w:ascii="Times New Roman" w:hAnsi="Times New Roman" w:eastAsia="仿宋_GB2312" w:cs="Times New Roman"/>
          <w:kern w:val="0"/>
          <w:sz w:val="32"/>
          <w:szCs w:val="32"/>
          <w14:ligatures w14:val="none"/>
        </w:rPr>
      </w:pPr>
      <w:r>
        <w:rPr>
          <w:rFonts w:ascii="楷体" w:hAnsi="楷体" w:eastAsia="楷体" w:cs="楷体"/>
          <w:b/>
          <w:kern w:val="0"/>
          <w:sz w:val="32"/>
          <w:szCs w:val="32"/>
          <w14:ligatures w14:val="none"/>
        </w:rPr>
        <w:t>（三）强化跨部门协同与专项整治。</w:t>
      </w:r>
      <w:r>
        <w:rPr>
          <w:rFonts w:ascii="Times New Roman" w:hAnsi="Times New Roman" w:eastAsia="仿宋_GB2312" w:cs="Times New Roman"/>
          <w:kern w:val="0"/>
          <w:sz w:val="32"/>
          <w:szCs w:val="32"/>
          <w14:ligatures w14:val="none"/>
        </w:rPr>
        <w:t>健全医保与公安、卫生健康、市场监管、审计等部门间的联合执法、信息共享和行刑衔接机制。常态化开展打击欺诈骗保专项整治，聚焦基层医疗机构、社会办医、零售药店等重点领域精准打击。针对异地就医基金支出占比高的特点，强化异地就医费用协同监管。完善举报奖励制度，曝光典型案例，营造“不敢骗、不能骗、不想骗”的社会氛围。</w:t>
      </w:r>
    </w:p>
    <w:p>
      <w:pPr>
        <w:widowControl/>
        <w:spacing w:line="240" w:lineRule="auto"/>
        <w:ind w:firstLine="643" w:firstLineChars="200"/>
        <w:jc w:val="left"/>
        <w:rPr>
          <w:rFonts w:ascii="Times New Roman" w:hAnsi="Times New Roman" w:eastAsia="仿宋_GB2312" w:cs="Times New Roman"/>
          <w:kern w:val="0"/>
          <w:sz w:val="32"/>
          <w:szCs w:val="32"/>
          <w:lang w:bidi="ar"/>
          <w14:ligatures w14:val="none"/>
        </w:rPr>
      </w:pPr>
      <w:r>
        <w:rPr>
          <w:rFonts w:ascii="楷体" w:hAnsi="楷体" w:eastAsia="楷体" w:cs="楷体"/>
          <w:b/>
          <w:kern w:val="0"/>
          <w:sz w:val="32"/>
          <w:szCs w:val="32"/>
          <w14:ligatures w14:val="none"/>
        </w:rPr>
        <w:t>（四）夯实监管基础与队伍建设。</w:t>
      </w:r>
      <w:r>
        <w:rPr>
          <w:rFonts w:ascii="Times New Roman" w:hAnsi="Times New Roman" w:eastAsia="仿宋_GB2312" w:cs="Times New Roman"/>
          <w:kern w:val="0"/>
          <w:sz w:val="32"/>
          <w:szCs w:val="32"/>
          <w14:ligatures w14:val="none"/>
        </w:rPr>
        <w:t>加强市、县两级医保基金监管执法体系和专业队伍建设，配强执法力量。统一执法标准、程序和文书，严格落实行政执法“三项制度”。定期组织监管人员、定点机构负责人及从业人员开展法律法规和典型案例警示教育。探索引入会计师事务所、信息技术机构等第三方专业力量参与监管。通过社会监督员、行业自律等形式，构建政府主导、社会协同、公众参与的基金监管共治格局。</w:t>
      </w:r>
    </w:p>
    <w:p>
      <w:pPr>
        <w:keepNext/>
        <w:keepLines/>
        <w:spacing w:before="468" w:beforeLines="150" w:after="468" w:afterLines="150" w:line="240" w:lineRule="auto"/>
        <w:jc w:val="center"/>
        <w:outlineLvl w:val="2"/>
        <w:rPr>
          <w:rFonts w:ascii="Times New Roman" w:hAnsi="Times New Roman" w:eastAsia="黑体" w:cs="Times New Roman"/>
          <w:bCs/>
          <w:sz w:val="32"/>
          <w:szCs w:val="32"/>
          <w14:ligatures w14:val="none"/>
        </w:rPr>
      </w:pPr>
      <w:bookmarkStart w:id="60" w:name="_Toc28911"/>
      <w:bookmarkStart w:id="61" w:name="_Toc20411"/>
      <w:bookmarkStart w:id="62" w:name="_Toc23198"/>
      <w:bookmarkStart w:id="63" w:name="_Toc641318400"/>
      <w:bookmarkStart w:id="64" w:name="_Toc7661"/>
      <w:r>
        <w:rPr>
          <w:rFonts w:ascii="Times New Roman" w:hAnsi="Times New Roman" w:eastAsia="黑体" w:cs="Times New Roman"/>
          <w:bCs/>
          <w:sz w:val="32"/>
          <w:szCs w:val="24"/>
          <w:lang w:bidi="ar"/>
          <w14:ligatures w14:val="none"/>
        </w:rPr>
        <w:t>六、推进精准高效的医疗保障管理体系</w:t>
      </w:r>
      <w:bookmarkEnd w:id="60"/>
      <w:bookmarkEnd w:id="61"/>
      <w:bookmarkEnd w:id="62"/>
      <w:bookmarkEnd w:id="63"/>
      <w:bookmarkEnd w:id="64"/>
    </w:p>
    <w:p>
      <w:pPr>
        <w:widowControl/>
        <w:numPr>
          <w:ilvl w:val="3"/>
          <w:numId w:val="0"/>
        </w:numPr>
        <w:kinsoku w:val="0"/>
        <w:wordWrap w:val="0"/>
        <w:topLinePunct/>
        <w:spacing w:line="240" w:lineRule="auto"/>
        <w:ind w:firstLine="643" w:firstLineChars="200"/>
        <w:jc w:val="left"/>
        <w:rPr>
          <w:rFonts w:ascii="Times New Roman" w:hAnsi="Times New Roman" w:eastAsia="仿宋_GB2312" w:cs="Times New Roman"/>
          <w:bCs/>
          <w:sz w:val="32"/>
          <w:szCs w:val="32"/>
          <w14:ligatures w14:val="none"/>
        </w:rPr>
      </w:pPr>
      <w:r>
        <w:rPr>
          <w:rFonts w:ascii="楷体" w:hAnsi="楷体" w:eastAsia="楷体" w:cs="楷体"/>
          <w:b/>
          <w:kern w:val="0"/>
          <w:sz w:val="32"/>
          <w:szCs w:val="32"/>
          <w14:ligatures w14:val="none"/>
        </w:rPr>
        <w:t>（一）强化基金预算与绩效管理。</w:t>
      </w:r>
      <w:r>
        <w:rPr>
          <w:rFonts w:ascii="Times New Roman" w:hAnsi="Times New Roman" w:eastAsia="仿宋_GB2312" w:cs="Times New Roman"/>
          <w:bCs/>
          <w:kern w:val="0"/>
          <w:sz w:val="32"/>
          <w:szCs w:val="32"/>
          <w14:ligatures w14:val="none"/>
        </w:rPr>
        <w:t>严格执行统一的基金预算管理制度，综合考虑参保结构、人口老龄化、待遇政策调整、医疗费用增长趋势等因素，科学编制医保基金收支预算。完善总额预算下的“结余留用、合理超支分担”机制，引导医疗机构主动控成本、提质量。建立预算执行动态监测与评估机制，强化预算刚性约束。全面实施基金预算绩效管理，建立覆盖基金征收、支付、管理和监督全过程的绩效评价指标体系，评价结果与基金分配、支付政策调整挂钩。加强基金中长期精算分析，健全运行风险预警机制，为制度可持续发展提供决策支持。</w:t>
      </w:r>
    </w:p>
    <w:p>
      <w:pPr>
        <w:widowControl/>
        <w:spacing w:line="240" w:lineRule="auto"/>
        <w:ind w:firstLine="643" w:firstLineChars="200"/>
        <w:jc w:val="left"/>
        <w:rPr>
          <w:rFonts w:ascii="Times New Roman" w:hAnsi="Times New Roman" w:eastAsia="仿宋_GB2312" w:cs="Times New Roman"/>
          <w:bCs/>
          <w:kern w:val="0"/>
          <w:sz w:val="32"/>
          <w:szCs w:val="32"/>
          <w14:ligatures w14:val="none"/>
        </w:rPr>
      </w:pPr>
      <w:r>
        <w:rPr>
          <w:rFonts w:ascii="楷体" w:hAnsi="楷体" w:eastAsia="楷体" w:cs="楷体"/>
          <w:b/>
          <w:kern w:val="0"/>
          <w:sz w:val="32"/>
          <w:szCs w:val="32"/>
          <w14:ligatures w14:val="none"/>
        </w:rPr>
        <w:t>（二）深化数据驱动与智能治理。</w:t>
      </w:r>
      <w:r>
        <w:rPr>
          <w:rFonts w:ascii="Times New Roman" w:hAnsi="Times New Roman" w:eastAsia="仿宋_GB2312" w:cs="Times New Roman"/>
          <w:bCs/>
          <w:kern w:val="0"/>
          <w:sz w:val="32"/>
          <w:szCs w:val="32"/>
          <w14:ligatures w14:val="none"/>
        </w:rPr>
        <w:t>高标准建设我市医保大数据平台，在省级平台统一架构下，整合参保、就医、结算、医药服务及跨部门共享数据，构建“一人一档”“一机构一档”数据资源体系。健全统计调查和数据分析体系，构建基金风险预警、医疗行为分析、疾病谱研究、资源配置评估等多维度智能模型，推动管理从经验判断向数据驱动转变。强化分析成果在政策制定、支付改革、基金监管、资源配置等方面的决策支撑作用。</w:t>
      </w:r>
    </w:p>
    <w:p>
      <w:pPr>
        <w:widowControl/>
        <w:spacing w:line="240" w:lineRule="auto"/>
        <w:ind w:firstLine="643" w:firstLineChars="200"/>
        <w:rPr>
          <w:rFonts w:ascii="Times New Roman" w:hAnsi="Times New Roman" w:eastAsia="仿宋_GB2312" w:cs="Times New Roman"/>
          <w:bCs/>
          <w:kern w:val="0"/>
          <w:sz w:val="32"/>
          <w:szCs w:val="32"/>
          <w14:ligatures w14:val="none"/>
        </w:rPr>
      </w:pPr>
      <w:r>
        <w:rPr>
          <w:rFonts w:ascii="楷体" w:hAnsi="楷体" w:eastAsia="楷体" w:cs="楷体"/>
          <w:b/>
          <w:kern w:val="0"/>
          <w:sz w:val="32"/>
          <w:szCs w:val="32"/>
          <w14:ligatures w14:val="none"/>
        </w:rPr>
        <w:t>（三）优化医保协议管理与资源配置。</w:t>
      </w:r>
      <w:r>
        <w:rPr>
          <w:rFonts w:ascii="Times New Roman" w:hAnsi="Times New Roman" w:eastAsia="仿宋_GB2312" w:cs="Times New Roman"/>
          <w:bCs/>
          <w:kern w:val="0"/>
          <w:sz w:val="32"/>
          <w:szCs w:val="32"/>
          <w14:ligatures w14:val="none"/>
        </w:rPr>
        <w:t>严格执行国家和省定点医药机构协议管理规范，完善我市定点申请、评估、谈判、签约和考核的全流程管理。建立以服务质量和基金绩效为核心的定点机构综合评价机制，评价结果与医保支付、总额预算分配、协议续签等直接挂钩，健全准入退出机制，激发定点机构规范使用基金的内生动力。结合区域卫生规划、人口分布、疾病谱及基金承受能力，科学评估并动态调整定点机构资源配置标准与布局，对供给相对饱和的区域优化存量、控制增量。</w:t>
      </w:r>
    </w:p>
    <w:p>
      <w:pPr>
        <w:widowControl/>
        <w:spacing w:line="240" w:lineRule="auto"/>
        <w:ind w:firstLine="643" w:firstLineChars="200"/>
        <w:rPr>
          <w:rFonts w:ascii="Times New Roman" w:hAnsi="Times New Roman" w:eastAsia="仿宋_GB2312" w:cs="Times New Roman"/>
          <w:bCs/>
          <w:kern w:val="0"/>
          <w:sz w:val="32"/>
          <w:szCs w:val="32"/>
          <w14:ligatures w14:val="none"/>
        </w:rPr>
      </w:pPr>
      <w:r>
        <w:rPr>
          <w:rFonts w:ascii="楷体" w:hAnsi="楷体" w:eastAsia="楷体" w:cs="楷体"/>
          <w:b/>
          <w:kern w:val="0"/>
          <w:sz w:val="32"/>
          <w:szCs w:val="32"/>
          <w14:ligatures w14:val="none"/>
        </w:rPr>
        <w:t>（四）构建多元协同与共治格局。</w:t>
      </w:r>
      <w:r>
        <w:rPr>
          <w:rFonts w:ascii="Times New Roman" w:hAnsi="Times New Roman" w:eastAsia="仿宋_GB2312" w:cs="Times New Roman"/>
          <w:bCs/>
          <w:kern w:val="0"/>
          <w:sz w:val="32"/>
          <w:szCs w:val="32"/>
          <w14:ligatures w14:val="none"/>
        </w:rPr>
        <w:t>健全“三医协同”及多部门常态化沟通协调机制，加强与卫生健康、财政、民政、市场监管、公安、审计、税务等部门在政策制定、信息共享、联合执法等方面的协作，定期会商改革中的重大问题，重点围绕提升本地医疗服务能力、控制异地就医不合理增长等关键问题加强跨部门政策协同与行动配合。积极引入第三方专业力量，在绩效评价、政策研究、长期护理保险经办管理等领域探索政府购买服务，提升管理的专业性与客观性。畅通社会监督渠道，完善举报奖励制度，发挥社会监督员、行业组织、新闻媒体等作用。鼓励和支持医药机构、行业协会加强自律，引导定点机构及其医务人员规范诊疗行为，共同维护基金安全。</w:t>
      </w:r>
    </w:p>
    <w:p>
      <w:pPr>
        <w:widowControl/>
        <w:spacing w:line="240" w:lineRule="auto"/>
        <w:ind w:firstLine="643" w:firstLineChars="200"/>
        <w:jc w:val="left"/>
        <w:rPr>
          <w:rFonts w:ascii="Times New Roman" w:hAnsi="Times New Roman" w:eastAsia="仿宋_GB2312" w:cs="Times New Roman"/>
          <w:bCs/>
          <w:kern w:val="0"/>
          <w:sz w:val="32"/>
          <w:szCs w:val="32"/>
          <w14:ligatures w14:val="none"/>
        </w:rPr>
      </w:pPr>
      <w:r>
        <w:rPr>
          <w:rFonts w:ascii="楷体" w:hAnsi="楷体" w:eastAsia="楷体" w:cs="楷体"/>
          <w:b/>
          <w:kern w:val="0"/>
          <w:sz w:val="32"/>
          <w:szCs w:val="32"/>
          <w14:ligatures w14:val="none"/>
        </w:rPr>
        <w:t>（五）推进标准化与法治化建设。</w:t>
      </w:r>
      <w:r>
        <w:rPr>
          <w:rFonts w:ascii="Times New Roman" w:hAnsi="Times New Roman" w:eastAsia="仿宋_GB2312" w:cs="Times New Roman"/>
          <w:bCs/>
          <w:kern w:val="0"/>
          <w:sz w:val="32"/>
          <w:szCs w:val="32"/>
          <w14:ligatures w14:val="none"/>
        </w:rPr>
        <w:t>全面贯彻《医疗保障基金使用监督管理条例》等法律法规，推动医保管理服务各环节法治化、规范化。严格落实行政执法公示、全过程记录、重大决定法制审核制度，完善欺诈骗保案件行刑衔接流程。严格落实国家医保信息业务编码标准。加强医保干部队伍专业化建设，开展常态化政策业务培训，提升依法行政能力和管理服务水平。</w:t>
      </w:r>
    </w:p>
    <w:p>
      <w:pPr>
        <w:keepNext/>
        <w:keepLines/>
        <w:numPr>
          <w:ilvl w:val="255"/>
          <w:numId w:val="0"/>
        </w:numPr>
        <w:spacing w:before="468" w:beforeLines="150" w:after="468" w:afterLines="150" w:line="240" w:lineRule="auto"/>
        <w:jc w:val="center"/>
        <w:outlineLvl w:val="2"/>
        <w:rPr>
          <w:rFonts w:ascii="Times New Roman" w:hAnsi="Times New Roman" w:eastAsia="黑体" w:cs="Times New Roman"/>
          <w:bCs/>
          <w:sz w:val="32"/>
          <w:szCs w:val="24"/>
          <w:lang w:bidi="ar"/>
          <w14:ligatures w14:val="none"/>
        </w:rPr>
      </w:pPr>
      <w:bookmarkStart w:id="65" w:name="_Toc27648"/>
      <w:bookmarkStart w:id="66" w:name="_Toc28695"/>
      <w:bookmarkStart w:id="67" w:name="_Toc29054"/>
      <w:bookmarkStart w:id="68" w:name="_Toc1569254184"/>
      <w:bookmarkStart w:id="69" w:name="_Toc28646"/>
      <w:r>
        <w:rPr>
          <w:rFonts w:ascii="Times New Roman" w:hAnsi="Times New Roman" w:eastAsia="黑体" w:cs="Times New Roman"/>
          <w:bCs/>
          <w:sz w:val="32"/>
          <w:szCs w:val="24"/>
          <w:lang w:bidi="ar"/>
          <w14:ligatures w14:val="none"/>
        </w:rPr>
        <w:t>七、持续提升医疗保障经办服务水平</w:t>
      </w:r>
      <w:bookmarkEnd w:id="65"/>
      <w:bookmarkEnd w:id="66"/>
      <w:bookmarkEnd w:id="67"/>
      <w:bookmarkEnd w:id="68"/>
      <w:bookmarkEnd w:id="69"/>
    </w:p>
    <w:p>
      <w:pPr>
        <w:widowControl/>
        <w:spacing w:line="240" w:lineRule="auto"/>
        <w:ind w:firstLine="643" w:firstLineChars="200"/>
        <w:rPr>
          <w:rFonts w:ascii="Times New Roman" w:hAnsi="Times New Roman" w:eastAsia="仿宋_GB2312" w:cs="Times New Roman"/>
          <w:bCs/>
          <w:kern w:val="0"/>
          <w:sz w:val="32"/>
          <w:szCs w:val="32"/>
          <w14:ligatures w14:val="none"/>
        </w:rPr>
      </w:pPr>
      <w:r>
        <w:rPr>
          <w:rFonts w:ascii="楷体" w:hAnsi="楷体" w:eastAsia="楷体" w:cs="楷体"/>
          <w:b/>
          <w:kern w:val="0"/>
          <w:sz w:val="32"/>
          <w:szCs w:val="32"/>
          <w14:ligatures w14:val="none"/>
        </w:rPr>
        <w:t>（一）健全基层服务网络与优化服务流程。</w:t>
      </w:r>
      <w:r>
        <w:rPr>
          <w:rFonts w:ascii="Times New Roman" w:hAnsi="Times New Roman" w:eastAsia="仿宋_GB2312" w:cs="Times New Roman"/>
          <w:bCs/>
          <w:kern w:val="0"/>
          <w:sz w:val="32"/>
          <w:szCs w:val="32"/>
          <w14:ligatures w14:val="none"/>
        </w:rPr>
        <w:t>推动经办服务深度下沉，完善市、县（区）、乡镇（街道）、村（社区）四级经办服务网络。依托党群服务中心、定点医药机构等设立医保服务窗口或代办点，将参保登记、信息查询、异地就医备案、零星报销受理等高频事项延伸至基层，推动符合条件的村卫生室及时纳入医保定点并开通直接结算。深化“综合柜员制”和“一站式”服务改革，巩固基本医保、大病保险、医疗救助“一站式”即时结算，探索将符合条件的商业健康保险理赔纳入结算范围。优化整合“出生一件事”“退休一件事”等跨部门联办服务，推行线上便捷办理或“免申即享”。简化异地就医备案手续，扩大直接结算的医疗机构覆盖面和门诊慢特病病种范围。</w:t>
      </w:r>
    </w:p>
    <w:p>
      <w:pPr>
        <w:widowControl/>
        <w:spacing w:line="240" w:lineRule="auto"/>
        <w:ind w:firstLine="643" w:firstLineChars="200"/>
        <w:jc w:val="left"/>
        <w:rPr>
          <w:rFonts w:ascii="楷体" w:hAnsi="楷体" w:eastAsia="楷体" w:cs="楷体"/>
          <w:b/>
          <w:kern w:val="0"/>
          <w:sz w:val="32"/>
          <w:szCs w:val="32"/>
          <w14:ligatures w14:val="none"/>
        </w:rPr>
      </w:pPr>
      <w:r>
        <w:rPr>
          <w:rFonts w:ascii="楷体" w:hAnsi="楷体" w:eastAsia="楷体" w:cs="楷体"/>
          <w:b/>
          <w:kern w:val="0"/>
          <w:sz w:val="32"/>
          <w:szCs w:val="32"/>
          <w14:ligatures w14:val="none"/>
        </w:rPr>
        <w:t>（二）强化数智赋能与服务渠道拓展。</w:t>
      </w:r>
      <w:r>
        <w:rPr>
          <w:rFonts w:ascii="Times New Roman" w:hAnsi="Times New Roman" w:eastAsia="仿宋_GB2312" w:cs="Times New Roman"/>
          <w:bCs/>
          <w:kern w:val="0"/>
          <w:sz w:val="32"/>
          <w:szCs w:val="32"/>
          <w14:ligatures w14:val="none"/>
        </w:rPr>
        <w:t>深化“互联网+医保”服务，完善“粤医保”小程序、本地政务APP等线上渠道功能，全面推广医保电子凭证全流程应用，深化移动支付、线上经办，打造线上线下融合的便捷服务体验。推进经办领域“人工智能+”服务，引入AI智能导办、辅助填单等技术，提升线上交互体验。探索利用人工智能大模型提升数据分析挖掘能力，推动经办业务大数据深度利用。严守数据安全底线，落实数据分级分类管理。</w:t>
      </w:r>
    </w:p>
    <w:p>
      <w:pPr>
        <w:widowControl/>
        <w:spacing w:line="240" w:lineRule="auto"/>
        <w:ind w:firstLine="643" w:firstLineChars="200"/>
        <w:jc w:val="left"/>
        <w:rPr>
          <w:rFonts w:ascii="Times New Roman" w:hAnsi="Times New Roman" w:eastAsia="仿宋_GB2312" w:cs="Times New Roman"/>
          <w:bCs/>
          <w:kern w:val="0"/>
          <w:sz w:val="32"/>
          <w:szCs w:val="32"/>
          <w14:ligatures w14:val="none"/>
        </w:rPr>
      </w:pPr>
      <w:r>
        <w:rPr>
          <w:rFonts w:ascii="楷体" w:hAnsi="楷体" w:eastAsia="楷体" w:cs="楷体"/>
          <w:b/>
          <w:kern w:val="0"/>
          <w:sz w:val="32"/>
          <w:szCs w:val="32"/>
          <w14:ligatures w14:val="none"/>
        </w:rPr>
        <w:t>（三）加强专业队伍建设与服务质量管控。</w:t>
      </w:r>
      <w:r>
        <w:rPr>
          <w:rFonts w:ascii="Times New Roman" w:hAnsi="Times New Roman" w:eastAsia="仿宋_GB2312" w:cs="Times New Roman"/>
          <w:bCs/>
          <w:kern w:val="0"/>
          <w:sz w:val="32"/>
          <w:szCs w:val="32"/>
          <w14:ligatures w14:val="none"/>
        </w:rPr>
        <w:t>实施经办队伍能力提升工程，制定系统化培训计划，覆盖政策法规、服务规范、信息系统操作、沟通技巧及廉政教育。针对精算、法律、数据应用、稽核检查等短板领域，通过业务轮训、技能比武、跨部门交流等方式提升专业素养，加强基层经办力量常态化培训。全面落实医保政务服务“好差评”制度，健全评价、反馈、整改、监督闭环机制。建立快速投诉响应与舆情处置机制，健全与宣传、网信等部门的舆情联动。整合各类平台资源，运用短视频、图解、案例等群众喜闻乐见的形式，融入本地文化元素，及时准确解读重大改革和便民措施，提升群众参保缴费的主动性和积极性。</w:t>
      </w:r>
    </w:p>
    <w:p>
      <w:pPr>
        <w:widowControl/>
        <w:spacing w:line="240" w:lineRule="auto"/>
        <w:ind w:firstLine="643" w:firstLineChars="200"/>
        <w:rPr>
          <w:rFonts w:ascii="Times New Roman" w:hAnsi="Times New Roman" w:eastAsia="仿宋_GB2312" w:cs="Times New Roman"/>
          <w:bCs/>
          <w:kern w:val="0"/>
          <w:sz w:val="32"/>
          <w:szCs w:val="32"/>
          <w14:ligatures w14:val="none"/>
        </w:rPr>
      </w:pPr>
      <w:r>
        <w:rPr>
          <w:rFonts w:ascii="楷体" w:hAnsi="楷体" w:eastAsia="楷体" w:cs="楷体"/>
          <w:b/>
          <w:kern w:val="0"/>
          <w:sz w:val="32"/>
          <w:szCs w:val="32"/>
          <w14:ligatures w14:val="none"/>
        </w:rPr>
        <w:t>（四）强化内控管理与结算清算。</w:t>
      </w:r>
      <w:r>
        <w:rPr>
          <w:rFonts w:ascii="Times New Roman" w:hAnsi="Times New Roman" w:eastAsia="仿宋_GB2312" w:cs="Times New Roman"/>
          <w:bCs/>
          <w:kern w:val="0"/>
          <w:sz w:val="32"/>
          <w:szCs w:val="32"/>
          <w14:ligatures w14:val="none"/>
        </w:rPr>
        <w:t>健全经办机构内部管理制度与风险防控体系，重点加强对费用审核、结算支付、账户管理等关键岗位和环节的监督制约，定期开展内控检查与风险评估。深化医保基金结算、清算改革，全面推进定点医药机构即时结算全覆盖，持续做好基金预付工作。实施医保基金清算提质增效三年行动计划，压减结算周期，探索按日智能审核后拨付、按笔边审边结等创新模式，提升资金周转效率。</w:t>
      </w:r>
    </w:p>
    <w:p>
      <w:pPr>
        <w:spacing w:line="240" w:lineRule="auto"/>
        <w:rPr>
          <w:rFonts w:ascii="Times New Roman" w:hAnsi="Times New Roman" w:eastAsia="仿宋_GB2312" w:cs="Times New Roman"/>
          <w:bCs/>
          <w:kern w:val="0"/>
          <w:sz w:val="32"/>
          <w:szCs w:val="32"/>
          <w14:ligatures w14:val="none"/>
        </w:rPr>
      </w:pPr>
      <w:bookmarkStart w:id="70" w:name="_Toc24418"/>
      <w:bookmarkStart w:id="71" w:name="_Toc30286"/>
      <w:bookmarkStart w:id="72" w:name="_Toc15437"/>
      <w:bookmarkStart w:id="73" w:name="_Toc23749"/>
    </w:p>
    <w:bookmarkEnd w:id="70"/>
    <w:bookmarkEnd w:id="71"/>
    <w:bookmarkEnd w:id="72"/>
    <w:bookmarkEnd w:id="73"/>
    <w:p>
      <w:pPr>
        <w:pageBreakBefore/>
        <w:numPr>
          <w:ilvl w:val="255"/>
          <w:numId w:val="0"/>
        </w:numPr>
        <w:spacing w:before="468" w:beforeLines="150" w:after="468" w:afterLines="150" w:line="240" w:lineRule="auto"/>
        <w:jc w:val="center"/>
        <w:outlineLvl w:val="1"/>
        <w:rPr>
          <w:rFonts w:ascii="华文中宋" w:hAnsi="华文中宋" w:eastAsia="华文中宋" w:cs="华文中宋"/>
          <w:b/>
          <w:sz w:val="36"/>
          <w:szCs w:val="24"/>
          <w14:ligatures w14:val="none"/>
        </w:rPr>
      </w:pPr>
      <w:bookmarkStart w:id="74" w:name="_Toc54273545"/>
      <w:bookmarkStart w:id="75" w:name="_Toc19776"/>
      <w:bookmarkStart w:id="76" w:name="_Toc1908"/>
      <w:bookmarkStart w:id="77" w:name="_Toc23571"/>
      <w:bookmarkStart w:id="78" w:name="_Toc32535"/>
      <w:r>
        <w:rPr>
          <w:rFonts w:ascii="华文中宋" w:hAnsi="华文中宋" w:eastAsia="华文中宋" w:cs="华文中宋"/>
          <w:b/>
          <w:sz w:val="36"/>
          <w:szCs w:val="24"/>
          <w14:ligatures w14:val="none"/>
        </w:rPr>
        <w:t>第四章 保障措施</w:t>
      </w:r>
      <w:bookmarkEnd w:id="74"/>
      <w:bookmarkEnd w:id="75"/>
      <w:bookmarkEnd w:id="76"/>
      <w:bookmarkEnd w:id="77"/>
      <w:bookmarkEnd w:id="78"/>
    </w:p>
    <w:p>
      <w:pPr>
        <w:widowControl/>
        <w:spacing w:line="240" w:lineRule="auto"/>
        <w:ind w:firstLine="643" w:firstLineChars="200"/>
        <w:jc w:val="left"/>
        <w:rPr>
          <w:rFonts w:ascii="Times New Roman" w:hAnsi="Times New Roman" w:eastAsia="仿宋_GB2312" w:cs="Times New Roman"/>
          <w:kern w:val="0"/>
          <w:sz w:val="32"/>
          <w:szCs w:val="32"/>
          <w14:ligatures w14:val="none"/>
        </w:rPr>
      </w:pPr>
      <w:r>
        <w:rPr>
          <w:rFonts w:ascii="楷体" w:hAnsi="楷体" w:eastAsia="楷体" w:cs="楷体"/>
          <w:b/>
          <w:kern w:val="0"/>
          <w:sz w:val="32"/>
          <w:szCs w:val="32"/>
          <w14:ligatures w14:val="none"/>
        </w:rPr>
        <w:t>（一）坚持党的全面领导。</w:t>
      </w:r>
      <w:r>
        <w:rPr>
          <w:rFonts w:ascii="Times New Roman" w:hAnsi="Times New Roman" w:eastAsia="仿宋_GB2312" w:cs="Times New Roman"/>
          <w:kern w:val="0"/>
          <w:sz w:val="32"/>
          <w:szCs w:val="32"/>
          <w14:ligatures w14:val="none"/>
        </w:rPr>
        <w:t>将党的领导贯穿规划实施全过程，健全党委领导、政府负责的工作推进机制，将核心指标与重大改革任务纳入重要议事日程和督查考核范围。强化对基金监管、招标采购、价格调整等重点领域和关键岗位的监督，为规划实施提供坚强政治保证。</w:t>
      </w:r>
    </w:p>
    <w:p>
      <w:pPr>
        <w:widowControl/>
        <w:spacing w:line="240" w:lineRule="auto"/>
        <w:ind w:firstLine="643" w:firstLineChars="200"/>
        <w:jc w:val="left"/>
        <w:rPr>
          <w:rFonts w:ascii="楷体" w:hAnsi="楷体" w:eastAsia="楷体" w:cs="楷体"/>
          <w:b/>
          <w:kern w:val="0"/>
          <w:sz w:val="32"/>
          <w:szCs w:val="32"/>
          <w14:ligatures w14:val="none"/>
        </w:rPr>
      </w:pPr>
      <w:r>
        <w:rPr>
          <w:rFonts w:ascii="楷体" w:hAnsi="楷体" w:eastAsia="楷体" w:cs="楷体"/>
          <w:b/>
          <w:kern w:val="0"/>
          <w:sz w:val="32"/>
          <w:szCs w:val="32"/>
          <w14:ligatures w14:val="none"/>
        </w:rPr>
        <w:t>（二）健全规划统筹实施机制。</w:t>
      </w:r>
      <w:r>
        <w:rPr>
          <w:rFonts w:ascii="Times New Roman" w:hAnsi="Times New Roman" w:eastAsia="仿宋_GB2312" w:cs="Times New Roman"/>
          <w:kern w:val="0"/>
          <w:sz w:val="32"/>
          <w:szCs w:val="32"/>
          <w14:ligatures w14:val="none"/>
        </w:rPr>
        <w:t>建立规划实施责任分解与动态管理机制，明确各项任务的责任主体、时间节点和成果形式。加强规划与年度工作计划、财政预算的衔接，保障重点任务和项目所需资源投入。</w:t>
      </w:r>
    </w:p>
    <w:p>
      <w:pPr>
        <w:widowControl/>
        <w:spacing w:line="240" w:lineRule="auto"/>
        <w:ind w:firstLine="643" w:firstLineChars="200"/>
        <w:jc w:val="left"/>
        <w:rPr>
          <w:rFonts w:ascii="Times New Roman" w:hAnsi="Times New Roman" w:eastAsia="仿宋_GB2312" w:cs="Times New Roman"/>
          <w:kern w:val="0"/>
          <w:sz w:val="32"/>
          <w:szCs w:val="32"/>
          <w14:ligatures w14:val="none"/>
        </w:rPr>
      </w:pPr>
      <w:r>
        <w:rPr>
          <w:rFonts w:ascii="楷体" w:hAnsi="楷体" w:eastAsia="楷体" w:cs="楷体"/>
          <w:b/>
          <w:kern w:val="0"/>
          <w:sz w:val="32"/>
          <w:szCs w:val="32"/>
          <w14:ligatures w14:val="none"/>
        </w:rPr>
        <w:t>（三）推进部门协同联动。</w:t>
      </w:r>
      <w:r>
        <w:rPr>
          <w:rFonts w:ascii="Times New Roman" w:hAnsi="Times New Roman" w:eastAsia="仿宋_GB2312" w:cs="Times New Roman"/>
          <w:kern w:val="0"/>
          <w:sz w:val="32"/>
          <w:szCs w:val="32"/>
          <w14:ligatures w14:val="none"/>
        </w:rPr>
        <w:t>健全医保与卫生健康、财政、民政、市场监管、税务等部门的常态化沟通协调机制，重点围绕提升本地医疗服务能力、控制异地就医不合理增长等关键问题，加强跨部门政策协同与行动配合，形成改革合力。</w:t>
      </w:r>
    </w:p>
    <w:p>
      <w:pPr>
        <w:widowControl/>
        <w:spacing w:after="100" w:line="240" w:lineRule="auto"/>
        <w:ind w:firstLine="643" w:firstLineChars="200"/>
        <w:jc w:val="left"/>
        <w:rPr>
          <w:rFonts w:ascii="Times New Roman" w:hAnsi="Times New Roman" w:eastAsia="仿宋_GB2312" w:cs="Times New Roman"/>
          <w:kern w:val="0"/>
          <w:sz w:val="32"/>
          <w:szCs w:val="32"/>
          <w14:ligatures w14:val="none"/>
        </w:rPr>
      </w:pPr>
      <w:r>
        <w:rPr>
          <w:rFonts w:ascii="楷体" w:hAnsi="楷体" w:eastAsia="楷体" w:cs="楷体"/>
          <w:b/>
          <w:kern w:val="0"/>
          <w:sz w:val="32"/>
          <w:szCs w:val="32"/>
          <w14:ligatures w14:val="none"/>
        </w:rPr>
        <w:t>（四）加强规划监测评估。</w:t>
      </w:r>
      <w:r>
        <w:rPr>
          <w:rFonts w:ascii="Times New Roman" w:hAnsi="Times New Roman" w:eastAsia="仿宋_GB2312" w:cs="Times New Roman"/>
          <w:kern w:val="0"/>
          <w:sz w:val="32"/>
          <w:szCs w:val="32"/>
          <w14:ligatures w14:val="none"/>
        </w:rPr>
        <w:t>建立规划实施监测评估体系，对主要指标和重点任务进展进行动态跟踪和年度分析。适时开展中期和总结评估，引入第三方机构参与，强化评估结果运用，确保规划目标如期实现。</w:t>
      </w:r>
    </w:p>
    <w:p>
      <w:pPr>
        <w:rPr>
          <w:rFonts w:hint="eastAsia"/>
        </w:rPr>
      </w:pPr>
    </w:p>
    <w:sectPr>
      <w:footerReference r:id="rId4" w:type="default"/>
      <w:pgSz w:w="11906" w:h="16838"/>
      <w:pgMar w:top="1440" w:right="1800" w:bottom="1440" w:left="1800"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012845F1-C187-43A0-BD66-7B6B5098BCF1}"/>
  </w:font>
  <w:font w:name="Arial">
    <w:panose1 w:val="020B0604020202020204"/>
    <w:charset w:val="01"/>
    <w:family w:val="swiss"/>
    <w:pitch w:val="default"/>
    <w:sig w:usb0="E0002EFF" w:usb1="C000785B" w:usb2="00000009" w:usb3="00000000" w:csb0="400001FF" w:csb1="FFFF0000"/>
    <w:embedRegular r:id="rId2" w:fontKey="{CDF145F2-F2DB-41A0-B2D7-960B15CFBFE8}"/>
  </w:font>
  <w:font w:name="黑体">
    <w:panose1 w:val="02010609060101010101"/>
    <w:charset w:val="86"/>
    <w:family w:val="auto"/>
    <w:pitch w:val="default"/>
    <w:sig w:usb0="800002BF" w:usb1="38CF7CFA" w:usb2="00000016" w:usb3="00000000" w:csb0="00040001" w:csb1="00000000"/>
    <w:embedRegular r:id="rId3" w:fontKey="{EF87B8B1-6072-4830-948C-8E305440CDED}"/>
  </w:font>
  <w:font w:name="Courier New">
    <w:panose1 w:val="02070309020205020404"/>
    <w:charset w:val="01"/>
    <w:family w:val="modern"/>
    <w:pitch w:val="default"/>
    <w:sig w:usb0="E0002EFF" w:usb1="C0007843" w:usb2="00000009" w:usb3="00000000" w:csb0="400001FF" w:csb1="FFFF0000"/>
    <w:embedRegular r:id="rId4" w:fontKey="{7FB6447F-60EC-436C-A0EB-27D1C97D5782}"/>
  </w:font>
  <w:font w:name="Symbol">
    <w:panose1 w:val="05050102010706020507"/>
    <w:charset w:val="02"/>
    <w:family w:val="roman"/>
    <w:pitch w:val="default"/>
    <w:sig w:usb0="00000000" w:usb1="00000000" w:usb2="00000000" w:usb3="00000000" w:csb0="80000000" w:csb1="00000000"/>
    <w:embedRegular r:id="rId5" w:fontKey="{1A51694B-8ADE-456A-9EC9-69E3985CB105}"/>
  </w:font>
  <w:font w:name="Calibri">
    <w:panose1 w:val="020F0502020204030204"/>
    <w:charset w:val="00"/>
    <w:family w:val="swiss"/>
    <w:pitch w:val="default"/>
    <w:sig w:usb0="E4002EFF" w:usb1="C000247B" w:usb2="00000009" w:usb3="00000000" w:csb0="200001FF" w:csb1="00000000"/>
    <w:embedRegular r:id="rId6" w:fontKey="{7BBE48BC-B137-49C7-8FED-BA7D8D4F909B}"/>
  </w:font>
  <w:font w:name="等线">
    <w:panose1 w:val="02010600030101010101"/>
    <w:charset w:val="86"/>
    <w:family w:val="auto"/>
    <w:pitch w:val="default"/>
    <w:sig w:usb0="A00002BF" w:usb1="38CF7CFA" w:usb2="00000016" w:usb3="00000000" w:csb0="0004000F" w:csb1="00000000"/>
    <w:embedRegular r:id="rId7" w:fontKey="{13F42D5E-8A78-4EC4-B73C-C6A41D02E5BA}"/>
  </w:font>
  <w:font w:name="等线 Light">
    <w:panose1 w:val="02010600030101010101"/>
    <w:charset w:val="86"/>
    <w:family w:val="auto"/>
    <w:pitch w:val="default"/>
    <w:sig w:usb0="A00002BF" w:usb1="38CF7CFA" w:usb2="00000016" w:usb3="00000000" w:csb0="0004000F" w:csb1="00000000"/>
  </w:font>
  <w:font w:name="华文中宋">
    <w:panose1 w:val="02010600040101010101"/>
    <w:charset w:val="86"/>
    <w:family w:val="auto"/>
    <w:pitch w:val="default"/>
    <w:sig w:usb0="00000287" w:usb1="080F0000" w:usb2="00000000" w:usb3="00000000" w:csb0="0004009F" w:csb1="DFD70000"/>
    <w:embedRegular r:id="rId8" w:fontKey="{0E805EA2-5177-4950-80E9-9E68A665A728}"/>
  </w:font>
  <w:font w:name="仿宋_GB2312">
    <w:panose1 w:val="02010609030101010101"/>
    <w:charset w:val="86"/>
    <w:family w:val="modern"/>
    <w:pitch w:val="default"/>
    <w:sig w:usb0="00000001" w:usb1="080E0000" w:usb2="00000000" w:usb3="00000000" w:csb0="00040000" w:csb1="00000000"/>
    <w:embedRegular r:id="rId9" w:fontKey="{204E4E5B-488A-446D-8B10-2C301BB1D92E}"/>
  </w:font>
  <w:font w:name="楷体">
    <w:panose1 w:val="02010609060101010101"/>
    <w:charset w:val="86"/>
    <w:family w:val="modern"/>
    <w:pitch w:val="default"/>
    <w:sig w:usb0="800002BF" w:usb1="38CF7CFA" w:usb2="00000016" w:usb3="00000000" w:csb0="00040001" w:csb1="00000000"/>
    <w:embedRegular r:id="rId10" w:fontKey="{85F54D40-7CE3-4BB1-A6AC-67F0408F67E8}"/>
  </w:font>
  <w:font w:name="楷体_GB2312">
    <w:panose1 w:val="02010609030101010101"/>
    <w:charset w:val="86"/>
    <w:family w:val="modern"/>
    <w:pitch w:val="default"/>
    <w:sig w:usb0="00000001" w:usb1="080E0000" w:usb2="00000000" w:usb3="00000000" w:csb0="00040000" w:csb1="00000000"/>
    <w:embedRegular r:id="rId11" w:fontKey="{50A95A03-19AE-4113-ADFC-D1E89CF4DCC6}"/>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tabs>
        <w:tab w:val="left" w:pos="2872"/>
        <w:tab w:val="clear" w:pos="4153"/>
      </w:tabs>
    </w:pPr>
    <w:r>
      <w:rPr>
        <w:rFonts w:hint="eastAsia"/>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038823649"/>
      <w:docPartObj>
        <w:docPartGallery w:val="autotext"/>
      </w:docPartObj>
    </w:sdtPr>
    <w:sdtEndPr>
      <w:rPr>
        <w:rFonts w:hint="eastAsia" w:ascii="仿宋_GB2312" w:eastAsia="仿宋_GB2312"/>
        <w:sz w:val="28"/>
        <w:szCs w:val="28"/>
      </w:rPr>
    </w:sdtEndPr>
    <w:sdtContent>
      <w:p>
        <w:pPr>
          <w:pStyle w:val="11"/>
          <w:jc w:val="center"/>
          <w:rPr>
            <w:rFonts w:hint="eastAsia" w:ascii="仿宋_GB2312" w:eastAsia="仿宋_GB2312"/>
            <w:sz w:val="28"/>
            <w:szCs w:val="28"/>
          </w:rPr>
        </w:pPr>
        <w:r>
          <w:rPr>
            <w:rFonts w:hint="eastAsia" w:ascii="仿宋_GB2312" w:eastAsia="仿宋_GB2312"/>
            <w:sz w:val="28"/>
            <w:szCs w:val="28"/>
          </w:rPr>
          <w:fldChar w:fldCharType="begin"/>
        </w:r>
        <w:r>
          <w:rPr>
            <w:rFonts w:hint="eastAsia" w:ascii="仿宋_GB2312" w:eastAsia="仿宋_GB2312"/>
            <w:sz w:val="28"/>
            <w:szCs w:val="28"/>
          </w:rPr>
          <w:instrText xml:space="preserve">PAGE   \* MERGEFORMAT</w:instrText>
        </w:r>
        <w:r>
          <w:rPr>
            <w:rFonts w:hint="eastAsia" w:ascii="仿宋_GB2312" w:eastAsia="仿宋_GB2312"/>
            <w:sz w:val="28"/>
            <w:szCs w:val="28"/>
          </w:rPr>
          <w:fldChar w:fldCharType="separate"/>
        </w:r>
        <w:r>
          <w:rPr>
            <w:rFonts w:hint="eastAsia" w:ascii="仿宋_GB2312" w:eastAsia="仿宋_GB2312"/>
            <w:sz w:val="28"/>
            <w:szCs w:val="28"/>
            <w:lang w:val="zh-CN"/>
          </w:rPr>
          <w:t>2</w:t>
        </w:r>
        <w:r>
          <w:rPr>
            <w:rFonts w:hint="eastAsia" w:ascii="仿宋_GB2312" w:eastAsia="仿宋_GB2312"/>
            <w:sz w:val="28"/>
            <w:szCs w:val="28"/>
          </w:rPr>
          <w:fldChar w:fldCharType="end"/>
        </w:r>
      </w:p>
    </w:sdtContent>
  </w:sdt>
  <w:p>
    <w:pPr>
      <w:pStyle w:val="11"/>
      <w:tabs>
        <w:tab w:val="left" w:pos="2872"/>
        <w:tab w:val="clear" w:pos="4153"/>
      </w:tabs>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TrueTypeFonts/>
  <w:bordersDoNotSurroundHeader w:val="1"/>
  <w:bordersDoNotSurroundFooter w:val="1"/>
  <w:documentProtection w:enforcement="0"/>
  <w:defaultTabStop w:val="420"/>
  <w:characterSpacingControl w:val="doNotCompress"/>
  <w:compat>
    <w:useFELayout/>
    <w:compatSetting w:name="compatibilityMode" w:uri="http://schemas.microsoft.com/office/word" w:val="12"/>
  </w:compat>
  <w:rsids>
    <w:rsidRoot w:val="001E34BD"/>
    <w:rsid w:val="00061F54"/>
    <w:rsid w:val="000F72BE"/>
    <w:rsid w:val="00126ACF"/>
    <w:rsid w:val="00187F9D"/>
    <w:rsid w:val="001E34BD"/>
    <w:rsid w:val="00231426"/>
    <w:rsid w:val="0025309D"/>
    <w:rsid w:val="002F16C6"/>
    <w:rsid w:val="003C4526"/>
    <w:rsid w:val="00486C14"/>
    <w:rsid w:val="004972EE"/>
    <w:rsid w:val="0058077D"/>
    <w:rsid w:val="00581A45"/>
    <w:rsid w:val="006C56B2"/>
    <w:rsid w:val="00777C07"/>
    <w:rsid w:val="009164F7"/>
    <w:rsid w:val="00A35A90"/>
    <w:rsid w:val="00B915A0"/>
    <w:rsid w:val="00C22ADD"/>
    <w:rsid w:val="00CA2053"/>
    <w:rsid w:val="00D01D20"/>
    <w:rsid w:val="00E12FA3"/>
    <w:rsid w:val="013B3ED6"/>
    <w:rsid w:val="043B4309"/>
    <w:rsid w:val="05743C2B"/>
    <w:rsid w:val="160F0D55"/>
    <w:rsid w:val="166A0214"/>
    <w:rsid w:val="20FA0B9B"/>
    <w:rsid w:val="25130A68"/>
    <w:rsid w:val="2FF5675D"/>
    <w:rsid w:val="30AF418A"/>
    <w:rsid w:val="4C5F1B81"/>
    <w:rsid w:val="4D2A79AC"/>
    <w:rsid w:val="52997E4D"/>
    <w:rsid w:val="578D034C"/>
    <w:rsid w:val="5DB85D1C"/>
    <w:rsid w:val="5FE91345"/>
    <w:rsid w:val="6A424D23"/>
    <w:rsid w:val="6D6D4A47"/>
    <w:rsid w:val="7AC53BC8"/>
    <w:rsid w:val="7C50467B"/>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jc w:val="both"/>
    </w:pPr>
    <w:rPr>
      <w:rFonts w:eastAsia="宋体" w:asciiTheme="minorHAnsi" w:hAnsiTheme="minorHAnsi" w:cstheme="minorBidi"/>
      <w:kern w:val="2"/>
      <w:sz w:val="24"/>
      <w:szCs w:val="22"/>
      <w:lang w:val="en-US" w:eastAsia="zh-CN" w:bidi="ar-SA"/>
      <w14:ligatures w14:val="standardContextual"/>
    </w:rPr>
  </w:style>
  <w:style w:type="paragraph" w:styleId="2">
    <w:name w:val="heading 1"/>
    <w:basedOn w:val="1"/>
    <w:next w:val="1"/>
    <w:link w:val="17"/>
    <w:qFormat/>
    <w:uiPriority w:val="9"/>
    <w:pPr>
      <w:keepNext/>
      <w:keepLines/>
      <w:spacing w:before="480" w:after="80"/>
      <w:outlineLvl w:val="0"/>
    </w:pPr>
    <w:rPr>
      <w:rFonts w:asciiTheme="majorHAnsi" w:hAnsiTheme="majorHAnsi" w:eastAsiaTheme="majorEastAsia" w:cstheme="majorBidi"/>
      <w:color w:val="2F5496" w:themeColor="accent1" w:themeShade="BF"/>
      <w:sz w:val="48"/>
      <w:szCs w:val="48"/>
    </w:rPr>
  </w:style>
  <w:style w:type="paragraph" w:styleId="3">
    <w:name w:val="heading 2"/>
    <w:basedOn w:val="1"/>
    <w:next w:val="1"/>
    <w:link w:val="18"/>
    <w:semiHidden/>
    <w:unhideWhenUsed/>
    <w:qFormat/>
    <w:uiPriority w:val="9"/>
    <w:pPr>
      <w:keepNext/>
      <w:keepLines/>
      <w:spacing w:before="160" w:after="80"/>
      <w:outlineLvl w:val="1"/>
    </w:pPr>
    <w:rPr>
      <w:rFonts w:asciiTheme="majorHAnsi" w:hAnsiTheme="majorHAnsi" w:eastAsiaTheme="majorEastAsia" w:cstheme="majorBidi"/>
      <w:color w:val="2F5496" w:themeColor="accent1" w:themeShade="BF"/>
      <w:sz w:val="40"/>
      <w:szCs w:val="40"/>
    </w:rPr>
  </w:style>
  <w:style w:type="paragraph" w:styleId="4">
    <w:name w:val="heading 3"/>
    <w:basedOn w:val="1"/>
    <w:next w:val="1"/>
    <w:link w:val="19"/>
    <w:semiHidden/>
    <w:unhideWhenUsed/>
    <w:qFormat/>
    <w:uiPriority w:val="9"/>
    <w:pPr>
      <w:keepNext/>
      <w:keepLines/>
      <w:spacing w:before="160" w:after="80"/>
      <w:outlineLvl w:val="2"/>
    </w:pPr>
    <w:rPr>
      <w:rFonts w:asciiTheme="majorHAnsi" w:hAnsiTheme="majorHAnsi" w:eastAsiaTheme="majorEastAsia" w:cstheme="majorBidi"/>
      <w:color w:val="2F5496" w:themeColor="accent1" w:themeShade="BF"/>
      <w:sz w:val="32"/>
      <w:szCs w:val="32"/>
    </w:rPr>
  </w:style>
  <w:style w:type="paragraph" w:styleId="5">
    <w:name w:val="heading 4"/>
    <w:basedOn w:val="1"/>
    <w:next w:val="1"/>
    <w:link w:val="20"/>
    <w:semiHidden/>
    <w:unhideWhenUsed/>
    <w:qFormat/>
    <w:uiPriority w:val="9"/>
    <w:pPr>
      <w:keepNext/>
      <w:keepLines/>
      <w:spacing w:before="80" w:after="40"/>
      <w:outlineLvl w:val="3"/>
    </w:pPr>
    <w:rPr>
      <w:rFonts w:eastAsiaTheme="minorEastAsia" w:cstheme="majorBidi"/>
      <w:color w:val="2F5496" w:themeColor="accent1" w:themeShade="BF"/>
      <w:sz w:val="28"/>
      <w:szCs w:val="28"/>
    </w:rPr>
  </w:style>
  <w:style w:type="paragraph" w:styleId="6">
    <w:name w:val="heading 5"/>
    <w:basedOn w:val="1"/>
    <w:next w:val="1"/>
    <w:link w:val="21"/>
    <w:semiHidden/>
    <w:unhideWhenUsed/>
    <w:qFormat/>
    <w:uiPriority w:val="9"/>
    <w:pPr>
      <w:keepNext/>
      <w:keepLines/>
      <w:spacing w:before="80" w:after="40"/>
      <w:outlineLvl w:val="4"/>
    </w:pPr>
    <w:rPr>
      <w:rFonts w:eastAsiaTheme="minorEastAsia" w:cstheme="majorBidi"/>
      <w:color w:val="2F5496" w:themeColor="accent1" w:themeShade="BF"/>
      <w:szCs w:val="24"/>
    </w:rPr>
  </w:style>
  <w:style w:type="paragraph" w:styleId="7">
    <w:name w:val="heading 6"/>
    <w:basedOn w:val="1"/>
    <w:next w:val="1"/>
    <w:link w:val="22"/>
    <w:semiHidden/>
    <w:unhideWhenUsed/>
    <w:qFormat/>
    <w:uiPriority w:val="9"/>
    <w:pPr>
      <w:keepNext/>
      <w:keepLines/>
      <w:spacing w:before="40"/>
      <w:outlineLvl w:val="5"/>
    </w:pPr>
    <w:rPr>
      <w:rFonts w:eastAsiaTheme="minorEastAsia" w:cstheme="majorBidi"/>
      <w:b/>
      <w:bCs/>
      <w:color w:val="2F5496" w:themeColor="accent1" w:themeShade="BF"/>
    </w:rPr>
  </w:style>
  <w:style w:type="paragraph" w:styleId="8">
    <w:name w:val="heading 7"/>
    <w:basedOn w:val="1"/>
    <w:next w:val="1"/>
    <w:link w:val="23"/>
    <w:semiHidden/>
    <w:unhideWhenUsed/>
    <w:qFormat/>
    <w:uiPriority w:val="9"/>
    <w:pPr>
      <w:keepNext/>
      <w:keepLines/>
      <w:spacing w:before="40"/>
      <w:outlineLvl w:val="6"/>
    </w:pPr>
    <w:rPr>
      <w:rFonts w:eastAsiaTheme="minorEastAsia" w:cstheme="majorBidi"/>
      <w:b/>
      <w:bCs/>
      <w:color w:val="585858" w:themeColor="text1" w:themeTint="A6"/>
    </w:rPr>
  </w:style>
  <w:style w:type="paragraph" w:styleId="9">
    <w:name w:val="heading 8"/>
    <w:basedOn w:val="1"/>
    <w:next w:val="1"/>
    <w:link w:val="24"/>
    <w:semiHidden/>
    <w:unhideWhenUsed/>
    <w:qFormat/>
    <w:uiPriority w:val="9"/>
    <w:pPr>
      <w:keepNext/>
      <w:keepLines/>
      <w:outlineLvl w:val="7"/>
    </w:pPr>
    <w:rPr>
      <w:rFonts w:eastAsiaTheme="minorEastAsia" w:cstheme="majorBidi"/>
      <w:color w:val="585858" w:themeColor="text1" w:themeTint="A6"/>
    </w:rPr>
  </w:style>
  <w:style w:type="paragraph" w:styleId="10">
    <w:name w:val="heading 9"/>
    <w:basedOn w:val="1"/>
    <w:next w:val="1"/>
    <w:link w:val="25"/>
    <w:semiHidden/>
    <w:unhideWhenUsed/>
    <w:qFormat/>
    <w:uiPriority w:val="9"/>
    <w:pPr>
      <w:keepNext/>
      <w:keepLines/>
      <w:outlineLvl w:val="8"/>
    </w:pPr>
    <w:rPr>
      <w:rFonts w:eastAsiaTheme="majorEastAsia" w:cstheme="majorBidi"/>
      <w:color w:val="585858" w:themeColor="text1" w:themeTint="A6"/>
    </w:rPr>
  </w:style>
  <w:style w:type="character" w:default="1" w:styleId="16">
    <w:name w:val="Default Paragraph Font"/>
    <w:semiHidden/>
    <w:unhideWhenUsed/>
    <w:qFormat/>
    <w:uiPriority w:val="1"/>
  </w:style>
  <w:style w:type="table" w:default="1" w:styleId="15">
    <w:name w:val="Normal Table"/>
    <w:semiHidden/>
    <w:unhideWhenUsed/>
    <w:qFormat/>
    <w:uiPriority w:val="99"/>
    <w:tblPr>
      <w:tblLayout w:type="fixed"/>
      <w:tblCellMar>
        <w:top w:w="0" w:type="dxa"/>
        <w:left w:w="108" w:type="dxa"/>
        <w:bottom w:w="0" w:type="dxa"/>
        <w:right w:w="108" w:type="dxa"/>
      </w:tblCellMar>
    </w:tblPr>
  </w:style>
  <w:style w:type="paragraph" w:styleId="11">
    <w:name w:val="footer"/>
    <w:basedOn w:val="1"/>
    <w:link w:val="36"/>
    <w:unhideWhenUsed/>
    <w:qFormat/>
    <w:uiPriority w:val="99"/>
    <w:pPr>
      <w:tabs>
        <w:tab w:val="center" w:pos="4153"/>
        <w:tab w:val="right" w:pos="8306"/>
      </w:tabs>
      <w:snapToGrid w:val="0"/>
      <w:spacing w:line="240" w:lineRule="auto"/>
      <w:jc w:val="left"/>
    </w:pPr>
    <w:rPr>
      <w:sz w:val="18"/>
      <w:szCs w:val="18"/>
    </w:rPr>
  </w:style>
  <w:style w:type="paragraph" w:styleId="12">
    <w:name w:val="header"/>
    <w:basedOn w:val="1"/>
    <w:link w:val="35"/>
    <w:unhideWhenUsed/>
    <w:qFormat/>
    <w:uiPriority w:val="99"/>
    <w:pPr>
      <w:tabs>
        <w:tab w:val="center" w:pos="4153"/>
        <w:tab w:val="right" w:pos="8306"/>
      </w:tabs>
      <w:snapToGrid w:val="0"/>
      <w:spacing w:line="240" w:lineRule="auto"/>
      <w:jc w:val="center"/>
    </w:pPr>
    <w:rPr>
      <w:sz w:val="18"/>
      <w:szCs w:val="18"/>
    </w:rPr>
  </w:style>
  <w:style w:type="paragraph" w:styleId="13">
    <w:name w:val="Subtitle"/>
    <w:basedOn w:val="1"/>
    <w:next w:val="1"/>
    <w:link w:val="27"/>
    <w:qFormat/>
    <w:uiPriority w:val="11"/>
    <w:pPr>
      <w:spacing w:after="160"/>
      <w:jc w:val="center"/>
    </w:pPr>
    <w:rPr>
      <w:rFonts w:asciiTheme="majorHAnsi" w:hAnsiTheme="majorHAnsi" w:eastAsiaTheme="majorEastAsia" w:cstheme="majorBidi"/>
      <w:color w:val="585858" w:themeColor="text1" w:themeTint="A6"/>
      <w:spacing w:val="15"/>
      <w:sz w:val="28"/>
      <w:szCs w:val="28"/>
    </w:rPr>
  </w:style>
  <w:style w:type="paragraph" w:styleId="14">
    <w:name w:val="Title"/>
    <w:basedOn w:val="1"/>
    <w:next w:val="1"/>
    <w:link w:val="26"/>
    <w:qFormat/>
    <w:uiPriority w:val="10"/>
    <w:pPr>
      <w:spacing w:after="80" w:line="240" w:lineRule="auto"/>
      <w:contextualSpacing/>
      <w:jc w:val="center"/>
    </w:pPr>
    <w:rPr>
      <w:rFonts w:asciiTheme="majorHAnsi" w:hAnsiTheme="majorHAnsi" w:eastAsiaTheme="majorEastAsia" w:cstheme="majorBidi"/>
      <w:spacing w:val="-10"/>
      <w:kern w:val="28"/>
      <w:sz w:val="56"/>
      <w:szCs w:val="56"/>
    </w:rPr>
  </w:style>
  <w:style w:type="character" w:customStyle="1" w:styleId="17">
    <w:name w:val="标题 1 字符"/>
    <w:basedOn w:val="16"/>
    <w:link w:val="2"/>
    <w:qFormat/>
    <w:uiPriority w:val="9"/>
    <w:rPr>
      <w:rFonts w:asciiTheme="majorHAnsi" w:hAnsiTheme="majorHAnsi" w:eastAsiaTheme="majorEastAsia" w:cstheme="majorBidi"/>
      <w:color w:val="2F5496" w:themeColor="accent1" w:themeShade="BF"/>
      <w:sz w:val="48"/>
      <w:szCs w:val="48"/>
    </w:rPr>
  </w:style>
  <w:style w:type="character" w:customStyle="1" w:styleId="18">
    <w:name w:val="标题 2 字符"/>
    <w:basedOn w:val="16"/>
    <w:link w:val="3"/>
    <w:semiHidden/>
    <w:qFormat/>
    <w:uiPriority w:val="9"/>
    <w:rPr>
      <w:rFonts w:asciiTheme="majorHAnsi" w:hAnsiTheme="majorHAnsi" w:eastAsiaTheme="majorEastAsia" w:cstheme="majorBidi"/>
      <w:color w:val="2F5496" w:themeColor="accent1" w:themeShade="BF"/>
      <w:sz w:val="40"/>
      <w:szCs w:val="40"/>
    </w:rPr>
  </w:style>
  <w:style w:type="character" w:customStyle="1" w:styleId="19">
    <w:name w:val="标题 3 字符"/>
    <w:basedOn w:val="16"/>
    <w:link w:val="4"/>
    <w:semiHidden/>
    <w:qFormat/>
    <w:uiPriority w:val="9"/>
    <w:rPr>
      <w:rFonts w:asciiTheme="majorHAnsi" w:hAnsiTheme="majorHAnsi" w:eastAsiaTheme="majorEastAsia" w:cstheme="majorBidi"/>
      <w:color w:val="2F5496" w:themeColor="accent1" w:themeShade="BF"/>
      <w:sz w:val="32"/>
      <w:szCs w:val="32"/>
    </w:rPr>
  </w:style>
  <w:style w:type="character" w:customStyle="1" w:styleId="20">
    <w:name w:val="标题 4 字符"/>
    <w:basedOn w:val="16"/>
    <w:link w:val="5"/>
    <w:semiHidden/>
    <w:qFormat/>
    <w:uiPriority w:val="9"/>
    <w:rPr>
      <w:rFonts w:cstheme="majorBidi"/>
      <w:color w:val="2F5496" w:themeColor="accent1" w:themeShade="BF"/>
      <w:sz w:val="28"/>
      <w:szCs w:val="28"/>
    </w:rPr>
  </w:style>
  <w:style w:type="character" w:customStyle="1" w:styleId="21">
    <w:name w:val="标题 5 字符"/>
    <w:basedOn w:val="16"/>
    <w:link w:val="6"/>
    <w:semiHidden/>
    <w:qFormat/>
    <w:uiPriority w:val="9"/>
    <w:rPr>
      <w:rFonts w:cstheme="majorBidi"/>
      <w:color w:val="2F5496" w:themeColor="accent1" w:themeShade="BF"/>
      <w:sz w:val="24"/>
      <w:szCs w:val="24"/>
    </w:rPr>
  </w:style>
  <w:style w:type="character" w:customStyle="1" w:styleId="22">
    <w:name w:val="标题 6 字符"/>
    <w:basedOn w:val="16"/>
    <w:link w:val="7"/>
    <w:semiHidden/>
    <w:qFormat/>
    <w:uiPriority w:val="9"/>
    <w:rPr>
      <w:rFonts w:cstheme="majorBidi"/>
      <w:b/>
      <w:bCs/>
      <w:color w:val="2F5496" w:themeColor="accent1" w:themeShade="BF"/>
      <w:sz w:val="24"/>
    </w:rPr>
  </w:style>
  <w:style w:type="character" w:customStyle="1" w:styleId="23">
    <w:name w:val="标题 7 字符"/>
    <w:basedOn w:val="16"/>
    <w:link w:val="8"/>
    <w:semiHidden/>
    <w:qFormat/>
    <w:uiPriority w:val="9"/>
    <w:rPr>
      <w:rFonts w:cstheme="majorBidi"/>
      <w:b/>
      <w:bCs/>
      <w:color w:val="585858" w:themeColor="text1" w:themeTint="A6"/>
      <w:sz w:val="24"/>
    </w:rPr>
  </w:style>
  <w:style w:type="character" w:customStyle="1" w:styleId="24">
    <w:name w:val="标题 8 字符"/>
    <w:basedOn w:val="16"/>
    <w:link w:val="9"/>
    <w:semiHidden/>
    <w:qFormat/>
    <w:uiPriority w:val="9"/>
    <w:rPr>
      <w:rFonts w:cstheme="majorBidi"/>
      <w:color w:val="585858" w:themeColor="text1" w:themeTint="A6"/>
      <w:sz w:val="24"/>
    </w:rPr>
  </w:style>
  <w:style w:type="character" w:customStyle="1" w:styleId="25">
    <w:name w:val="标题 9 字符"/>
    <w:basedOn w:val="16"/>
    <w:link w:val="10"/>
    <w:semiHidden/>
    <w:qFormat/>
    <w:uiPriority w:val="9"/>
    <w:rPr>
      <w:rFonts w:eastAsiaTheme="majorEastAsia" w:cstheme="majorBidi"/>
      <w:color w:val="585858" w:themeColor="text1" w:themeTint="A6"/>
      <w:sz w:val="24"/>
    </w:rPr>
  </w:style>
  <w:style w:type="character" w:customStyle="1" w:styleId="26">
    <w:name w:val="标题 字符"/>
    <w:basedOn w:val="16"/>
    <w:link w:val="14"/>
    <w:qFormat/>
    <w:uiPriority w:val="10"/>
    <w:rPr>
      <w:rFonts w:asciiTheme="majorHAnsi" w:hAnsiTheme="majorHAnsi" w:eastAsiaTheme="majorEastAsia" w:cstheme="majorBidi"/>
      <w:spacing w:val="-10"/>
      <w:kern w:val="28"/>
      <w:sz w:val="56"/>
      <w:szCs w:val="56"/>
    </w:rPr>
  </w:style>
  <w:style w:type="character" w:customStyle="1" w:styleId="27">
    <w:name w:val="副标题 字符"/>
    <w:basedOn w:val="16"/>
    <w:link w:val="13"/>
    <w:qFormat/>
    <w:uiPriority w:val="11"/>
    <w:rPr>
      <w:rFonts w:asciiTheme="majorHAnsi" w:hAnsiTheme="majorHAnsi" w:eastAsiaTheme="majorEastAsia" w:cstheme="majorBidi"/>
      <w:color w:val="585858" w:themeColor="text1" w:themeTint="A6"/>
      <w:spacing w:val="15"/>
      <w:sz w:val="28"/>
      <w:szCs w:val="28"/>
    </w:rPr>
  </w:style>
  <w:style w:type="paragraph" w:styleId="28">
    <w:name w:val="Quote"/>
    <w:basedOn w:val="1"/>
    <w:next w:val="1"/>
    <w:link w:val="29"/>
    <w:qFormat/>
    <w:uiPriority w:val="29"/>
    <w:pPr>
      <w:spacing w:before="160" w:after="160"/>
      <w:jc w:val="center"/>
    </w:pPr>
    <w:rPr>
      <w:i/>
      <w:iCs/>
      <w:color w:val="3F3F3F" w:themeColor="text1" w:themeTint="BF"/>
    </w:rPr>
  </w:style>
  <w:style w:type="character" w:customStyle="1" w:styleId="29">
    <w:name w:val="引用 字符"/>
    <w:basedOn w:val="16"/>
    <w:link w:val="28"/>
    <w:qFormat/>
    <w:uiPriority w:val="29"/>
    <w:rPr>
      <w:rFonts w:eastAsia="宋体"/>
      <w:i/>
      <w:iCs/>
      <w:color w:val="3F3F3F" w:themeColor="text1" w:themeTint="BF"/>
      <w:sz w:val="24"/>
    </w:rPr>
  </w:style>
  <w:style w:type="paragraph" w:styleId="30">
    <w:name w:val="List Paragraph"/>
    <w:basedOn w:val="1"/>
    <w:qFormat/>
    <w:uiPriority w:val="34"/>
    <w:pPr>
      <w:ind w:left="720"/>
      <w:contextualSpacing/>
    </w:pPr>
  </w:style>
  <w:style w:type="character" w:customStyle="1" w:styleId="31">
    <w:name w:val="Intense Emphasis"/>
    <w:basedOn w:val="16"/>
    <w:qFormat/>
    <w:uiPriority w:val="21"/>
    <w:rPr>
      <w:i/>
      <w:iCs/>
      <w:color w:val="2F5496" w:themeColor="accent1" w:themeShade="BF"/>
    </w:rPr>
  </w:style>
  <w:style w:type="paragraph" w:styleId="32">
    <w:name w:val="Intense Quote"/>
    <w:basedOn w:val="1"/>
    <w:next w:val="1"/>
    <w:link w:val="33"/>
    <w:qFormat/>
    <w:uiPriority w:val="30"/>
    <w:pPr>
      <w:pBdr>
        <w:top w:val="single" w:color="2F5496" w:themeColor="accent1" w:themeShade="BF" w:sz="4" w:space="10"/>
        <w:bottom w:val="single" w:color="2F5496" w:themeColor="accent1" w:themeShade="BF" w:sz="4" w:space="10"/>
      </w:pBdr>
      <w:spacing w:before="360" w:after="360"/>
      <w:ind w:left="864" w:right="864"/>
      <w:jc w:val="center"/>
    </w:pPr>
    <w:rPr>
      <w:i/>
      <w:iCs/>
      <w:color w:val="2F5496" w:themeColor="accent1" w:themeShade="BF"/>
    </w:rPr>
  </w:style>
  <w:style w:type="character" w:customStyle="1" w:styleId="33">
    <w:name w:val="明显引用 字符"/>
    <w:basedOn w:val="16"/>
    <w:link w:val="32"/>
    <w:qFormat/>
    <w:uiPriority w:val="30"/>
    <w:rPr>
      <w:rFonts w:eastAsia="宋体"/>
      <w:i/>
      <w:iCs/>
      <w:color w:val="2F5496" w:themeColor="accent1" w:themeShade="BF"/>
      <w:sz w:val="24"/>
    </w:rPr>
  </w:style>
  <w:style w:type="character" w:customStyle="1" w:styleId="34">
    <w:name w:val="Intense Reference"/>
    <w:basedOn w:val="16"/>
    <w:qFormat/>
    <w:uiPriority w:val="32"/>
    <w:rPr>
      <w:b/>
      <w:bCs/>
      <w:smallCaps/>
      <w:color w:val="2F5496" w:themeColor="accent1" w:themeShade="BF"/>
      <w:spacing w:val="5"/>
    </w:rPr>
  </w:style>
  <w:style w:type="character" w:customStyle="1" w:styleId="35">
    <w:name w:val="页眉 字符"/>
    <w:basedOn w:val="16"/>
    <w:link w:val="12"/>
    <w:qFormat/>
    <w:uiPriority w:val="99"/>
    <w:rPr>
      <w:rFonts w:eastAsia="宋体"/>
      <w:sz w:val="18"/>
      <w:szCs w:val="18"/>
    </w:rPr>
  </w:style>
  <w:style w:type="character" w:customStyle="1" w:styleId="36">
    <w:name w:val="页脚 字符"/>
    <w:basedOn w:val="16"/>
    <w:link w:val="11"/>
    <w:qFormat/>
    <w:uiPriority w:val="99"/>
    <w:rPr>
      <w:rFonts w:eastAsia="宋体"/>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EA4AB42-1C93-4BDD-B04B-357DC1369E1D}">
  <ds:schemaRefs/>
</ds:datastoreItem>
</file>

<file path=docProps/app.xml><?xml version="1.0" encoding="utf-8"?>
<Properties xmlns="http://schemas.openxmlformats.org/officeDocument/2006/extended-properties" xmlns:vt="http://schemas.openxmlformats.org/officeDocument/2006/docPropsVTypes">
  <Template>Normal.dotm</Template>
  <Pages>27</Pages>
  <Words>9993</Words>
  <Characters>10152</Characters>
  <Lines>79</Lines>
  <Paragraphs>22</Paragraphs>
  <TotalTime>6</TotalTime>
  <ScaleCrop>false</ScaleCrop>
  <LinksUpToDate>false</LinksUpToDate>
  <CharactersWithSpaces>10242</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2026-07-29T10:28:00Z</dcterms:created>
  <dc:creator>益豪 陈</dc:creator>
  <cp:lastModifiedBy>admin</cp:lastModifiedBy>
  <dcterms:modified xsi:type="dcterms:W3CDTF">2026-08-17T02:50:11Z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ies>
</file>