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C6ADC">
      <w:pPr>
        <w:bidi w:val="0"/>
        <w:jc w:val="center"/>
        <w:rPr>
          <w:rFonts w:asciiTheme="minorEastAsia" w:hAnsiTheme="minorEastAsia" w:eastAsiaTheme="minorEastAsia" w:cstheme="minorEastAsia"/>
          <w:sz w:val="44"/>
          <w:szCs w:val="44"/>
          <w:lang w:val="en-US" w:eastAsia="zh-CN"/>
        </w:rPr>
      </w:pPr>
    </w:p>
    <w:p w14:paraId="5562FD33">
      <w:pPr>
        <w:bidi w:val="0"/>
        <w:jc w:val="both"/>
        <w:rPr>
          <w:rFonts w:asciiTheme="minorEastAsia" w:hAnsiTheme="minorEastAsia" w:eastAsiaTheme="minorEastAsia" w:cstheme="minorEastAsia"/>
          <w:sz w:val="44"/>
          <w:szCs w:val="44"/>
          <w:lang w:val="en-US" w:eastAsia="zh-CN"/>
        </w:rPr>
      </w:pPr>
    </w:p>
    <w:p w14:paraId="5FE65812">
      <w:pPr>
        <w:jc w:val="center"/>
        <w:rPr>
          <w:rFonts w:ascii="宋体" w:hAnsi="宋体" w:eastAsia="宋体"/>
        </w:rPr>
      </w:pPr>
      <w:r>
        <w:rPr>
          <w:rFonts w:ascii="宋体" w:hAnsi="宋体" w:eastAsia="宋体" w:cs="宋体"/>
          <w:color w:val="000000"/>
          <w:sz w:val="44"/>
          <w:szCs w:val="44"/>
          <w:shd w:val="clear" w:fill="FFFFFF"/>
          <w:lang w:val="en-US" w:eastAsia="zh-CN"/>
        </w:rPr>
        <w:t>城市建设档案管理规定</w:t>
      </w:r>
    </w:p>
    <w:p w14:paraId="277110A0">
      <w:pPr>
        <w:pageBreakBefore w:val="0"/>
        <w:ind w:firstLine="640"/>
        <w:rPr>
          <w:rFonts w:ascii="楷体" w:hAnsi="楷体" w:eastAsia="楷体"/>
          <w:sz w:val="32"/>
          <w:szCs w:val="32"/>
        </w:rPr>
      </w:pPr>
      <w:r>
        <w:rPr>
          <w:rFonts w:ascii="楷体" w:hAnsi="楷体" w:eastAsia="楷体" w:cs="楷体_GB2312"/>
          <w:i w:val="0"/>
          <w:caps w:val="0"/>
          <w:smallCaps w:val="0"/>
          <w:color w:val="333333"/>
          <w:spacing w:val="0"/>
          <w:sz w:val="32"/>
          <w:szCs w:val="32"/>
          <w:shd w:val="clear" w:fill="FFFFFF"/>
          <w:lang w:val="en-US" w:eastAsia="zh-CN"/>
        </w:rPr>
        <w:t>(</w:t>
      </w:r>
      <w:r>
        <w:rPr>
          <w:rFonts w:ascii="楷体" w:hAnsi="楷体" w:eastAsia="楷体" w:cs="楷体"/>
          <w:color w:val="333333"/>
          <w:sz w:val="32"/>
          <w:u w:color="auto"/>
        </w:rPr>
        <w:t>2026年4月20日中华人民共和国住房和城乡建设部、国家档案局令第61号公布  自2026年9月1日起施行</w:t>
      </w:r>
      <w:r>
        <w:rPr>
          <w:rFonts w:ascii="楷体" w:hAnsi="楷体" w:eastAsia="楷体" w:cs="楷体_GB2312"/>
          <w:i w:val="0"/>
          <w:caps w:val="0"/>
          <w:smallCaps w:val="0"/>
          <w:color w:val="333333"/>
          <w:spacing w:val="0"/>
          <w:sz w:val="32"/>
          <w:szCs w:val="32"/>
          <w:shd w:val="clear" w:fill="FFFFFF"/>
          <w:lang w:val="en-US" w:eastAsia="zh-CN"/>
        </w:rPr>
        <w:t>)</w:t>
      </w:r>
    </w:p>
    <w:p w14:paraId="4ED92998">
      <w:pPr>
        <w:ind w:firstLine="640"/>
        <w:rPr>
          <w:rFonts w:ascii="楷体" w:hAnsi="楷体" w:eastAsia="楷体"/>
          <w:sz w:val="32"/>
          <w:szCs w:val="32"/>
        </w:rPr>
      </w:pPr>
    </w:p>
    <w:p w14:paraId="72DD486C">
      <w:pPr>
        <w:widowControl/>
        <w:jc w:val="center"/>
        <w:rPr>
          <w:rFonts w:ascii="黑体, SimHei" w:hAnsi="黑体, SimHei" w:eastAsia="黑体, SimHei" w:cs="黑体, SimHei"/>
          <w:color w:val="333333"/>
          <w:sz w:val="32"/>
          <w:u w:color="auto"/>
        </w:rPr>
      </w:pPr>
      <w:r>
        <w:rPr>
          <w:rFonts w:ascii="黑体, SimHei" w:hAnsi="黑体, SimHei" w:eastAsia="黑体, SimHei" w:cs="黑体, SimHei"/>
          <w:color w:val="333333"/>
          <w:sz w:val="32"/>
          <w:u w:color="auto"/>
        </w:rPr>
        <w:t>第一章</w:t>
      </w:r>
      <w:r>
        <w:rPr>
          <w:rFonts w:hint="eastAsia" w:ascii="黑体, SimHei" w:hAnsi="黑体, SimHei" w:eastAsia="黑体, SimHei" w:cs="黑体, SimHei"/>
          <w:color w:val="333333"/>
          <w:sz w:val="32"/>
          <w:u w:color="auto"/>
          <w:lang w:eastAsia="zh-CN"/>
        </w:rPr>
        <w:t>　</w:t>
      </w:r>
      <w:r>
        <w:rPr>
          <w:rFonts w:ascii="黑体, SimHei" w:hAnsi="黑体, SimHei" w:eastAsia="黑体, SimHei" w:cs="黑体, SimHei"/>
          <w:color w:val="333333"/>
          <w:sz w:val="32"/>
          <w:u w:color="auto"/>
        </w:rPr>
        <w:t>总则</w:t>
      </w:r>
    </w:p>
    <w:p w14:paraId="5E51D415">
      <w:pPr>
        <w:widowControl/>
        <w:jc w:val="left"/>
        <w:rPr>
          <w:rFonts w:ascii="黑体, SimHei" w:hAnsi="黑体, SimHei" w:eastAsia="黑体, SimHei" w:cs="黑体, SimHei"/>
          <w:color w:val="333333"/>
          <w:sz w:val="32"/>
          <w:u w:color="auto"/>
        </w:rPr>
      </w:pPr>
    </w:p>
    <w:p w14:paraId="09DFC9C1">
      <w:pPr>
        <w:widowControl/>
        <w:numPr>
          <w:numId w:val="0"/>
        </w:numPr>
        <w:ind w:leftChars="0"/>
        <w:jc w:val="left"/>
        <w:rPr>
          <w:rFonts w:ascii="仿宋, SimSun" w:hAnsi="仿宋, SimSun" w:eastAsia="仿宋, SimSun" w:cs="仿宋, SimSun"/>
          <w:color w:val="333333"/>
          <w:sz w:val="32"/>
          <w:u w:color="auto"/>
        </w:rPr>
      </w:pP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w:t>
      </w:r>
      <w:r>
        <w:rPr>
          <w:rFonts w:hint="eastAsia" w:ascii="黑体, SimHei" w:hAnsi="黑体, SimHei" w:eastAsia="黑体, SimHei" w:cs="黑体, SimHei"/>
          <w:color w:val="333333"/>
          <w:sz w:val="32"/>
          <w:u w:color="auto"/>
          <w:lang w:eastAsia="zh-CN"/>
        </w:rPr>
        <w:t>一</w:t>
      </w:r>
      <w:r>
        <w:rPr>
          <w:rFonts w:ascii="黑体, SimHei" w:hAnsi="黑体, SimHei" w:eastAsia="黑体, SimHei" w:cs="黑体, SimHei"/>
          <w:color w:val="333333"/>
          <w:sz w:val="32"/>
          <w:u w:color="auto"/>
        </w:rPr>
        <w:t>条</w:t>
      </w:r>
      <w:r>
        <w:rPr>
          <w:rFonts w:hint="eastAsia" w:ascii="黑体, SimHei" w:hAnsi="黑体, SimHei" w:eastAsia="黑体, SimHei" w:cs="黑体, SimHei"/>
          <w:color w:val="333333"/>
          <w:sz w:val="32"/>
          <w:u w:color="auto"/>
          <w:lang w:eastAsia="zh-CN"/>
        </w:rPr>
        <w:t>　</w:t>
      </w:r>
      <w:r>
        <w:rPr>
          <w:rFonts w:hint="eastAsia" w:ascii="仿宋, SimSun" w:hAnsi="仿宋, SimSun" w:eastAsia="仿宋, SimSun" w:cs="仿宋, SimSun"/>
          <w:color w:val="333333"/>
          <w:sz w:val="32"/>
          <w:u w:color="auto"/>
          <w:lang w:eastAsia="zh-CN"/>
        </w:rPr>
        <w:t>为</w:t>
      </w:r>
      <w:r>
        <w:rPr>
          <w:rFonts w:ascii="仿宋, SimSun" w:hAnsi="仿宋, SimSun" w:eastAsia="仿宋, SimSun" w:cs="仿宋, SimSun"/>
          <w:color w:val="333333"/>
          <w:sz w:val="32"/>
          <w:u w:color="auto"/>
        </w:rPr>
        <w:t>了加强城市建设档案（以下简称城建档案）管理，有效保护和利用城建档案，提升城建档案信息化水平，充分发挥城建档案在城市规划、建设、治理中的作用，根据《中华人民共和国档案法》、《中华人民共和国建筑法》、《建设工程质量管理条例》、《科学技术档案工作条例》等法律、行政法规，制定本规定。</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第二条</w:t>
      </w:r>
      <w:r>
        <w:rPr>
          <w:rFonts w:hint="eastAsia" w:ascii="黑体, SimHei" w:hAnsi="黑体, SimHei" w:eastAsia="黑体, SimHei" w:cs="黑体, SimHei"/>
          <w:color w:val="333333"/>
          <w:sz w:val="32"/>
          <w:u w:color="auto"/>
          <w:lang w:eastAsia="zh-CN"/>
        </w:rPr>
        <w:t>　</w:t>
      </w:r>
      <w:r>
        <w:rPr>
          <w:rFonts w:ascii="仿宋, SimSun" w:hAnsi="仿宋, SimSun" w:eastAsia="仿宋, SimSun" w:cs="仿宋, SimSun"/>
          <w:color w:val="333333"/>
          <w:sz w:val="32"/>
          <w:u w:color="auto"/>
        </w:rPr>
        <w:t>本规定适用于城建档案的形成、收集、整理、移交、保管、利用及其监督管理。</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本规定所称城建档案，是指在城市规划、建设及其治理活动中直接形成的对国家和社会具有保存价值的文字、图纸、图表、声像等不同形式的历史记录。</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第三条</w:t>
      </w:r>
      <w:r>
        <w:rPr>
          <w:rFonts w:hint="eastAsia" w:ascii="黑体, SimHei" w:hAnsi="黑体, SimHei" w:eastAsia="黑体, SimHei" w:cs="黑体, SimHei"/>
          <w:color w:val="333333"/>
          <w:sz w:val="32"/>
          <w:u w:color="auto"/>
          <w:lang w:eastAsia="zh-CN"/>
        </w:rPr>
        <w:t>　</w:t>
      </w:r>
      <w:r>
        <w:rPr>
          <w:rFonts w:ascii="仿宋, SimSun" w:hAnsi="仿宋, SimSun" w:eastAsia="仿宋, SimSun" w:cs="仿宋, SimSun"/>
          <w:color w:val="333333"/>
          <w:sz w:val="32"/>
          <w:u w:color="auto"/>
        </w:rPr>
        <w:t>国务院住房城乡建设主管部门负责全国城建档案管理工作，业务上受国家档案主管部门的监督和指导。</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县级以上地方人民政府确定的负责城建档案管理工作的主管部门（以下简称城建档案管理部门）按照职责负责本行政区域内城建档案的管理工作，业务上受同级档案主管部门的监督和指导。</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第四条</w:t>
      </w:r>
      <w:r>
        <w:rPr>
          <w:rFonts w:hint="eastAsia" w:ascii="黑体, SimHei" w:hAnsi="黑体, SimHei" w:eastAsia="黑体, SimHei" w:cs="黑体, SimHei"/>
          <w:color w:val="333333"/>
          <w:sz w:val="32"/>
          <w:u w:color="auto"/>
          <w:lang w:eastAsia="zh-CN"/>
        </w:rPr>
        <w:t>　</w:t>
      </w:r>
      <w:r>
        <w:rPr>
          <w:rFonts w:ascii="仿宋, SimSun" w:hAnsi="仿宋, SimSun" w:eastAsia="仿宋, SimSun" w:cs="仿宋, SimSun"/>
          <w:color w:val="333333"/>
          <w:sz w:val="32"/>
          <w:u w:color="auto"/>
        </w:rPr>
        <w:t>城市建设档案馆负责收集和保管本行政区域内的城建档案，提供城建档案业务指导和利用服务。</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城市建设档案馆与未建立城市建设档案馆的市、县负责城建档案工作的专门机构统称城建档案机构。</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第五条</w:t>
      </w:r>
      <w:r>
        <w:rPr>
          <w:rFonts w:hint="eastAsia" w:ascii="黑体, SimHei" w:hAnsi="黑体, SimHei" w:eastAsia="黑体, SimHei" w:cs="黑体, SimHei"/>
          <w:color w:val="333333"/>
          <w:sz w:val="32"/>
          <w:u w:color="auto"/>
          <w:lang w:eastAsia="zh-CN"/>
        </w:rPr>
        <w:t>　</w:t>
      </w:r>
      <w:r>
        <w:rPr>
          <w:rFonts w:ascii="仿宋, SimSun" w:hAnsi="仿宋, SimSun" w:eastAsia="仿宋, SimSun" w:cs="仿宋, SimSun"/>
          <w:color w:val="333333"/>
          <w:sz w:val="32"/>
          <w:u w:color="auto"/>
        </w:rPr>
        <w:t>城建档案管理部门可以结合地方实际，制定和组织实施城建档案事业发展规划，并依法申请和保障城建档案事业发展经费。</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第六条</w:t>
      </w:r>
      <w:r>
        <w:rPr>
          <w:rFonts w:hint="eastAsia" w:ascii="黑体, SimHei" w:hAnsi="黑体, SimHei" w:eastAsia="黑体, SimHei" w:cs="黑体, SimHei"/>
          <w:color w:val="333333"/>
          <w:sz w:val="32"/>
          <w:u w:color="auto"/>
          <w:lang w:eastAsia="zh-CN"/>
        </w:rPr>
        <w:t>　</w:t>
      </w:r>
      <w:r>
        <w:rPr>
          <w:rFonts w:ascii="仿宋, SimSun" w:hAnsi="仿宋, SimSun" w:eastAsia="仿宋, SimSun" w:cs="仿宋, SimSun"/>
          <w:color w:val="333333"/>
          <w:sz w:val="32"/>
          <w:u w:color="auto"/>
        </w:rPr>
        <w:t>城建档案机构按照国家档案管理有关规定接收以下城建档案：</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（一）城市勘测、规划档案；</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二）城市建设工程档案，包括工业、民用建筑工程，市政基础设施工程，公用基础设施工程，交通基础设施工程，园林绿化工程、风景名胜建设工程，市容环境卫生设施建设工程，城市防洪、抗震、人防工程所形成的档案；</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（三）城市建设科研档案；</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（四）负责城市规划、建设工作的主管部门在城市规划、建设及其治理中形成的有关城市建设基础资料；</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（五）按照法律法规规定应当接收的其他档案。</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第七条</w:t>
      </w:r>
      <w:r>
        <w:rPr>
          <w:rFonts w:hint="eastAsia" w:ascii="黑体, SimHei" w:hAnsi="黑体, SimHei" w:eastAsia="黑体, SimHei" w:cs="黑体, SimHei"/>
          <w:color w:val="333333"/>
          <w:sz w:val="32"/>
          <w:u w:color="auto"/>
          <w:lang w:eastAsia="zh-CN"/>
        </w:rPr>
        <w:t>　</w:t>
      </w:r>
      <w:r>
        <w:rPr>
          <w:rFonts w:ascii="仿宋, SimSun" w:hAnsi="仿宋, SimSun" w:eastAsia="仿宋, SimSun" w:cs="仿宋, SimSun"/>
          <w:color w:val="333333"/>
          <w:sz w:val="32"/>
          <w:u w:color="auto"/>
        </w:rPr>
        <w:t>城建档案实行集中统一管理，确保档案完整、准确、系统、规范、安全和有效利用。</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城市建设工程档案应当实行全生命周期管理。</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第八条</w:t>
      </w:r>
      <w:r>
        <w:rPr>
          <w:rFonts w:hint="eastAsia" w:ascii="黑体, SimHei" w:hAnsi="黑体, SimHei" w:eastAsia="黑体, SimHei" w:cs="黑体, SimHei"/>
          <w:color w:val="333333"/>
          <w:sz w:val="32"/>
          <w:u w:color="auto"/>
          <w:lang w:eastAsia="zh-CN"/>
        </w:rPr>
        <w:t>　</w:t>
      </w:r>
      <w:r>
        <w:rPr>
          <w:rFonts w:ascii="仿宋, SimSun" w:hAnsi="仿宋, SimSun" w:eastAsia="仿宋, SimSun" w:cs="仿宋, SimSun"/>
          <w:color w:val="333333"/>
          <w:sz w:val="32"/>
          <w:u w:color="auto"/>
        </w:rPr>
        <w:t>城建档案机构应当制定城建档案收集范围细则和工作方案，报城建档案管理部门审核，并经同级档案主管部门同意后施行。</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第九条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城建档案管理部门应当加强城建档案工作人才培养，为城建档案工作人员教育培训、职称评审、岗位聘用等创造条件，建设专业化、高素质的城建档案人才队伍。</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城建档案机构的技术人员应当具有工程、档案、电子信息等方面的专业知识。</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第十条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对在城建档案工作中作出突出贡献的单位和个人，依法给予表彰、奖励。</w:t>
      </w:r>
    </w:p>
    <w:p w14:paraId="589285E7">
      <w:pPr>
        <w:widowControl/>
        <w:numPr>
          <w:numId w:val="0"/>
        </w:numPr>
        <w:ind w:leftChars="0"/>
        <w:jc w:val="left"/>
        <w:rPr>
          <w:rFonts w:ascii="仿宋, SimSun" w:hAnsi="仿宋, SimSun" w:eastAsia="仿宋, SimSun" w:cs="仿宋, SimSun"/>
          <w:color w:val="333333"/>
          <w:sz w:val="32"/>
          <w:u w:color="auto"/>
        </w:rPr>
      </w:pPr>
    </w:p>
    <w:p w14:paraId="0CB22C54">
      <w:pPr>
        <w:widowControl/>
        <w:numPr>
          <w:numId w:val="0"/>
        </w:numPr>
        <w:ind w:leftChars="0"/>
        <w:jc w:val="left"/>
        <w:rPr>
          <w:rFonts w:ascii="仿宋, SimSun" w:hAnsi="仿宋, SimSun" w:eastAsia="仿宋, SimSun" w:cs="仿宋, SimSun"/>
          <w:color w:val="333333"/>
          <w:sz w:val="32"/>
          <w:u w:color="auto"/>
        </w:rPr>
      </w:pPr>
    </w:p>
    <w:p w14:paraId="5EB7CBA1">
      <w:pPr>
        <w:widowControl/>
        <w:numPr>
          <w:numId w:val="0"/>
        </w:numPr>
        <w:ind w:leftChars="0"/>
        <w:jc w:val="left"/>
        <w:rPr>
          <w:rFonts w:ascii="仿宋, SimSun" w:hAnsi="仿宋, SimSun" w:eastAsia="仿宋, SimSun" w:cs="仿宋, SimSun"/>
          <w:color w:val="333333"/>
          <w:sz w:val="32"/>
          <w:u w:color="auto"/>
        </w:rPr>
      </w:pPr>
    </w:p>
    <w:p w14:paraId="46D1D41C">
      <w:pPr>
        <w:widowControl/>
        <w:numPr>
          <w:numId w:val="0"/>
        </w:numPr>
        <w:ind w:left="840" w:leftChars="0"/>
        <w:jc w:val="left"/>
        <w:rPr>
          <w:rFonts w:ascii="仿宋, SimSun" w:hAnsi="仿宋, SimSun" w:eastAsia="仿宋, SimSun" w:cs="仿宋, SimSun"/>
          <w:color w:val="333333"/>
          <w:sz w:val="32"/>
          <w:u w:color="auto"/>
        </w:rPr>
      </w:pPr>
    </w:p>
    <w:p w14:paraId="7FB921FD">
      <w:pPr>
        <w:widowControl/>
        <w:jc w:val="center"/>
        <w:rPr>
          <w:rFonts w:ascii="黑体, SimHei" w:hAnsi="黑体, SimHei" w:eastAsia="黑体, SimHei" w:cs="黑体, SimHei"/>
          <w:color w:val="333333"/>
          <w:sz w:val="32"/>
          <w:u w:color="auto"/>
        </w:rPr>
      </w:pPr>
      <w:r>
        <w:rPr>
          <w:rFonts w:ascii="黑体, SimHei" w:hAnsi="黑体, SimHei" w:eastAsia="黑体, SimHei" w:cs="黑体, SimHei"/>
          <w:color w:val="333333"/>
          <w:sz w:val="32"/>
          <w:u w:color="auto"/>
        </w:rPr>
        <w:t>第二章</w:t>
      </w:r>
      <w:r>
        <w:rPr>
          <w:rFonts w:hint="eastAsia" w:ascii="黑体, SimHei" w:hAnsi="黑体, SimHei" w:eastAsia="黑体, SimHei" w:cs="黑体, SimHei"/>
          <w:color w:val="333333"/>
          <w:sz w:val="32"/>
          <w:u w:color="auto"/>
          <w:lang w:eastAsia="zh-CN"/>
        </w:rPr>
        <w:t>　</w:t>
      </w:r>
      <w:r>
        <w:rPr>
          <w:rFonts w:ascii="黑体, SimHei" w:hAnsi="黑体, SimHei" w:eastAsia="黑体, SimHei" w:cs="黑体, SimHei"/>
          <w:color w:val="333333"/>
          <w:sz w:val="32"/>
          <w:u w:color="auto"/>
        </w:rPr>
        <w:t>归档</w:t>
      </w:r>
    </w:p>
    <w:p w14:paraId="01A0A34D">
      <w:pPr>
        <w:widowControl/>
        <w:jc w:val="left"/>
        <w:rPr>
          <w:rFonts w:hint="eastAsia" w:ascii="黑体, SimHei" w:hAnsi="黑体, SimHei" w:eastAsia="黑体, SimHei" w:cs="黑体, SimHei"/>
          <w:color w:val="333333"/>
          <w:sz w:val="32"/>
          <w:u w:color="auto"/>
          <w:lang w:eastAsia="zh-CN"/>
        </w:rPr>
      </w:pPr>
    </w:p>
    <w:p w14:paraId="1D9B8418">
      <w:pPr>
        <w:widowControl/>
        <w:jc w:val="left"/>
        <w:rPr>
          <w:rFonts w:ascii="仿宋, SimSun" w:hAnsi="仿宋, SimSun" w:eastAsia="仿宋, SimSun" w:cs="仿宋, SimSun"/>
          <w:color w:val="333333"/>
          <w:sz w:val="32"/>
          <w:u w:color="auto"/>
        </w:rPr>
      </w:pPr>
      <w:r>
        <w:rPr>
          <w:rFonts w:hint="eastAsia" w:ascii="黑体, SimHei" w:hAnsi="黑体, SimHei" w:eastAsia="黑体, SimHei" w:cs="黑体, SimHei"/>
          <w:color w:val="333333"/>
          <w:sz w:val="32"/>
          <w:u w:color="auto"/>
          <w:lang w:eastAsia="zh-CN"/>
        </w:rPr>
        <w:t>　　</w:t>
      </w:r>
      <w:r>
        <w:rPr>
          <w:rFonts w:ascii="黑体, SimHei" w:hAnsi="黑体, SimHei" w:eastAsia="黑体, SimHei" w:cs="黑体, SimHei"/>
          <w:color w:val="333333"/>
          <w:sz w:val="32"/>
          <w:u w:color="auto"/>
        </w:rPr>
        <w:t>第十一条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城建档案形成单位应当依法落实档案工作责任制，建立健全城建档案管理制度，按照归档范围及时收集、整理、归档文件材料，并按照国家有关规定配置档案保管必要的设施设备，确保档案安全。归档文件材料应当完整、准确、系统和规范。</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第十二条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工程建设单位应当将档案相关费用列入建设工程造价，及时收集、整理建设工程各环节文件材料，确保归档进度与工程建设进度同步。</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建设工程勘察、设计、施工、监理等单位应当根据建设进度，同步开展建设工程文件材料的收集和整理工作，并按照规定将符合归档要求的工程档案交付工程建设单位。工程建设单位应当定期督促和查验归档情况。</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第十三条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工程建设单位应当明确建设工程竣工图编制单位和费用，组织设计、施工、监理等单位按照建设工程实际情况，在工程竣工验收前完成竣工图编制工作。</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第十四条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在核发建设工程规划许可或者施工许可时，城建档案管理部门应当一次性告知工程建设单位收集、整理、移交工程档案的有关要求。</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城建档案机构应当提供城建档案业务咨询、技术培训等服务。</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第十五条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委托档案服务企业开展档案整理、数字化、开发利用和寄存等服务的，应当选择符合条件的档案服务企业，委托方应当对受托方的服务进行全程指导和监督，确保档案安全和服务质量。</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第十六条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鼓励城建档案机构通过接受捐献、购买等方式收集记录城市建设发展历史的文字、图纸、图表、声像等不同形式的档案。</w:t>
      </w:r>
    </w:p>
    <w:p w14:paraId="5AD727D9">
      <w:pPr>
        <w:widowControl/>
        <w:jc w:val="left"/>
        <w:rPr>
          <w:rFonts w:ascii="黑体, SimHei" w:hAnsi="黑体, SimHei" w:eastAsia="黑体, SimHei" w:cs="黑体, SimHei"/>
          <w:color w:val="333333"/>
          <w:sz w:val="32"/>
          <w:u w:color="auto"/>
        </w:rPr>
      </w:pPr>
    </w:p>
    <w:p w14:paraId="4200EE89">
      <w:pPr>
        <w:widowControl/>
        <w:jc w:val="center"/>
        <w:rPr>
          <w:rFonts w:ascii="黑体, SimHei" w:hAnsi="黑体, SimHei" w:eastAsia="黑体, SimHei" w:cs="黑体, SimHei"/>
          <w:color w:val="333333"/>
          <w:sz w:val="32"/>
          <w:u w:color="auto"/>
        </w:rPr>
      </w:pPr>
      <w:r>
        <w:rPr>
          <w:rFonts w:ascii="黑体, SimHei" w:hAnsi="黑体, SimHei" w:eastAsia="黑体, SimHei" w:cs="黑体, SimHei"/>
          <w:color w:val="333333"/>
          <w:sz w:val="32"/>
          <w:u w:color="auto"/>
        </w:rPr>
        <w:t>第三章</w:t>
      </w:r>
      <w:r>
        <w:rPr>
          <w:rFonts w:hint="eastAsia" w:ascii="黑体, SimHei" w:hAnsi="黑体, SimHei" w:eastAsia="黑体, SimHei" w:cs="黑体, SimHei"/>
          <w:color w:val="333333"/>
          <w:sz w:val="32"/>
          <w:u w:color="auto"/>
          <w:lang w:eastAsia="zh-CN"/>
        </w:rPr>
        <w:t>　</w:t>
      </w:r>
      <w:r>
        <w:rPr>
          <w:rFonts w:ascii="黑体, SimHei" w:hAnsi="黑体, SimHei" w:eastAsia="黑体, SimHei" w:cs="黑体, SimHei"/>
          <w:color w:val="333333"/>
          <w:sz w:val="32"/>
          <w:u w:color="auto"/>
        </w:rPr>
        <w:t>移交</w:t>
      </w:r>
    </w:p>
    <w:p w14:paraId="353EB4B4">
      <w:pPr>
        <w:widowControl/>
        <w:jc w:val="left"/>
        <w:rPr>
          <w:rFonts w:ascii="黑体, SimHei" w:hAnsi="黑体, SimHei" w:eastAsia="黑体, SimHei" w:cs="黑体, SimHei"/>
          <w:color w:val="333333"/>
          <w:sz w:val="32"/>
          <w:u w:color="auto"/>
        </w:rPr>
      </w:pPr>
    </w:p>
    <w:p w14:paraId="55D4039D">
      <w:pPr>
        <w:widowControl/>
        <w:jc w:val="left"/>
        <w:rPr>
          <w:rFonts w:ascii="仿宋, SimSun" w:hAnsi="仿宋, SimSun" w:eastAsia="仿宋, SimSun" w:cs="仿宋, SimSun"/>
          <w:color w:val="333333"/>
          <w:sz w:val="32"/>
          <w:u w:color="auto"/>
        </w:rPr>
      </w:pP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第十七条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工程档案的立卷、验收、移交应当符合国家有关规定和标准规范。</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第十八条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工程建设单位应当在组织工程竣工验收前完成工程档案的整理立卷，确保工程档案完整、准确、系统、规范和安全。</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城建档案管理部门应当对需要移交的工程档案进行验收，出具工程档案验收意见书。工程档案验收具体工作可以委托城建档案机构实施。建设工程竣工验收备案时，住房城乡建设主管部门应当查验工程档案验收意见书。</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交通、水利、能源、铁路、民航领域重大建设项目档案验收，按照有关规定执行。</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第十九条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工程建设单位应当在工程竣工验收备案前向城建档案机构移交工程档案。工程竣工验收备案后形成的工程档案应当在工程竣工验收备案后三个月内移交。</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对建设周期长、规模大的建设工程，工程档案可以分阶段验收、分阶段移交。</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电子档案、建筑信息模型（BIM）等档案数字资源，应当移交。纸质档案的数字化成果应当真实反映档案内容。</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第二十条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对改建、扩建和重要部位维修的工程，工程建设单位应当组织设计、施工等单位按照规定收集、整理并移交工程档案。</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第二十一条</w:t>
      </w:r>
      <w:r>
        <w:rPr>
          <w:rFonts w:hint="eastAsia" w:ascii="黑体, SimHei" w:hAnsi="黑体, SimHei" w:eastAsia="黑体, SimHei" w:cs="黑体, SimHei"/>
          <w:color w:val="333333"/>
          <w:sz w:val="32"/>
          <w:u w:color="auto"/>
          <w:lang w:eastAsia="zh-CN"/>
        </w:rPr>
        <w:t>　</w:t>
      </w:r>
      <w:r>
        <w:rPr>
          <w:rFonts w:ascii="仿宋, SimSun" w:hAnsi="仿宋, SimSun" w:eastAsia="仿宋, SimSun" w:cs="仿宋, SimSun"/>
          <w:color w:val="333333"/>
          <w:sz w:val="32"/>
          <w:u w:color="auto"/>
        </w:rPr>
        <w:t>停建、缓建工程的档案，暂由工程建设单位保管；停建、缓建两年以上且工程建设单位不具备保存条件的，工程档案应当交由城建档案机构代为保存。工程建设单位发生机构变动或者撤销、合并等情形时，应当按照规定向有关单位或者城建档案机构移交工程档案。</w:t>
      </w:r>
    </w:p>
    <w:p w14:paraId="4F64D8AF">
      <w:pPr>
        <w:widowControl/>
        <w:jc w:val="left"/>
        <w:rPr>
          <w:rFonts w:ascii="仿宋_GB2312" w:hAnsi="仿宋_GB2312" w:eastAsia="仿宋_GB2312" w:cs="仿宋_GB2312"/>
          <w:color w:val="333333"/>
          <w:sz w:val="32"/>
          <w:u w:color="auto"/>
        </w:rPr>
      </w:pPr>
    </w:p>
    <w:p w14:paraId="0C468EF5">
      <w:pPr>
        <w:widowControl/>
        <w:jc w:val="left"/>
        <w:rPr>
          <w:rFonts w:ascii="仿宋_GB2312" w:hAnsi="仿宋_GB2312" w:eastAsia="仿宋_GB2312" w:cs="仿宋_GB2312"/>
          <w:color w:val="333333"/>
          <w:sz w:val="32"/>
          <w:u w:color="auto"/>
        </w:rPr>
      </w:pPr>
    </w:p>
    <w:p w14:paraId="2EC0C6C7">
      <w:pPr>
        <w:widowControl/>
        <w:jc w:val="center"/>
        <w:rPr>
          <w:rFonts w:ascii="黑体, SimHei" w:hAnsi="黑体, SimHei" w:eastAsia="黑体, SimHei" w:cs="黑体, SimHei"/>
          <w:color w:val="333333"/>
          <w:sz w:val="32"/>
          <w:u w:color="auto"/>
        </w:rPr>
      </w:pPr>
      <w:r>
        <w:rPr>
          <w:rFonts w:ascii="黑体, SimHei" w:hAnsi="黑体, SimHei" w:eastAsia="黑体, SimHei" w:cs="黑体, SimHei"/>
          <w:color w:val="333333"/>
          <w:sz w:val="32"/>
          <w:u w:color="auto"/>
        </w:rPr>
        <w:t>第四章</w:t>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保管与利用</w:t>
      </w:r>
    </w:p>
    <w:p w14:paraId="0D525795">
      <w:pPr>
        <w:widowControl/>
        <w:jc w:val="center"/>
        <w:rPr>
          <w:rFonts w:ascii="黑体, SimHei" w:hAnsi="黑体, SimHei" w:eastAsia="黑体, SimHei" w:cs="黑体, SimHei"/>
          <w:color w:val="333333"/>
          <w:sz w:val="32"/>
          <w:u w:color="auto"/>
        </w:rPr>
      </w:pPr>
    </w:p>
    <w:p w14:paraId="6B233691">
      <w:pPr>
        <w:widowControl/>
        <w:jc w:val="left"/>
        <w:rPr>
          <w:rFonts w:ascii="仿宋, SimSun" w:hAnsi="仿宋, SimSun" w:eastAsia="仿宋, SimSun" w:cs="仿宋, SimSun"/>
          <w:color w:val="333333"/>
          <w:sz w:val="32"/>
          <w:u w:color="auto"/>
        </w:rPr>
      </w:pP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第二十二条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城建档案机构应当建立健全城建档案安全保护工作制度，配置符合国家有关规定的专门库房，配备防火、防盗、防水、防光、防尘、防有害气体、防有害生物以及温湿度调控等必要的设施设备。</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对接收的档案应当及时登记、整理，编制检索工具，做好档案的保管、保护工作，定期检查档案保管状态，及时对破损的档案进行修复。</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第二十三条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城建档案应当依法向社会开放。涉及国家安全或者重大利益，以及其他不宜开放的城建档案，其开放应当遵守有关法律法规规定。</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第二十四条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城建档案机构应当建立健全城建档案利用制度，按照国家有关规定向社会提供城建档案利用服务，保障档案利用安全和畅通。</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单位和个人持合法证明，可以利用已经开放的城建档案。利用未开放城建档案的，按照国家有关规定办理。</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利用城建档案不得损害国家安全和利益，不得侵犯他人的合法权益。</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第二十五条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城建档案机构应当积极开发利用馆藏城建档案，为城市规划、城市更新、历史文化保护利用、防灾减灾救灾、城市信息模型（CIM）平台等提供支撑。</w:t>
      </w:r>
      <w:r>
        <w:cr/>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鼓励城建档案机构开展专题展览、公益讲座、媒体宣传等活动，传承城市历史文化。</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第二十六条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涉及国家秘密的城建档案的管理、利用，应当依照有关保守国家秘密的法律、行政法规规定办理。</w:t>
      </w:r>
    </w:p>
    <w:p w14:paraId="147DE027">
      <w:pPr>
        <w:widowControl/>
        <w:jc w:val="left"/>
        <w:rPr>
          <w:rFonts w:ascii="黑体, SimHei" w:hAnsi="黑体, SimHei" w:eastAsia="黑体, SimHei" w:cs="黑体, SimHei"/>
          <w:color w:val="333333"/>
          <w:sz w:val="32"/>
          <w:u w:color="auto"/>
        </w:rPr>
      </w:pPr>
    </w:p>
    <w:p w14:paraId="74598FAD">
      <w:pPr>
        <w:widowControl/>
        <w:jc w:val="center"/>
        <w:rPr>
          <w:rFonts w:ascii="黑体, SimHei" w:hAnsi="黑体, SimHei" w:eastAsia="黑体, SimHei" w:cs="黑体, SimHei"/>
          <w:color w:val="333333"/>
          <w:sz w:val="32"/>
          <w:u w:color="auto"/>
        </w:rPr>
      </w:pPr>
      <w:r>
        <w:rPr>
          <w:rFonts w:ascii="黑体, SimHei" w:hAnsi="黑体, SimHei" w:eastAsia="黑体, SimHei" w:cs="黑体, SimHei"/>
          <w:color w:val="333333"/>
          <w:sz w:val="32"/>
          <w:u w:color="auto"/>
        </w:rPr>
        <w:t>第五章</w:t>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信息化建设</w:t>
      </w:r>
    </w:p>
    <w:p w14:paraId="49E7231A">
      <w:pPr>
        <w:widowControl/>
        <w:jc w:val="left"/>
        <w:rPr>
          <w:rFonts w:ascii="黑体, SimHei" w:hAnsi="黑体, SimHei" w:eastAsia="黑体, SimHei" w:cs="黑体, SimHei"/>
          <w:color w:val="333333"/>
          <w:sz w:val="32"/>
          <w:u w:color="auto"/>
        </w:rPr>
      </w:pPr>
    </w:p>
    <w:p w14:paraId="2A7121FC">
      <w:pPr>
        <w:widowControl/>
        <w:jc w:val="left"/>
        <w:rPr>
          <w:rFonts w:ascii="仿宋, SimSun" w:hAnsi="仿宋, SimSun" w:eastAsia="仿宋, SimSun" w:cs="仿宋, SimSun"/>
          <w:color w:val="333333"/>
          <w:sz w:val="32"/>
          <w:u w:color="auto"/>
        </w:rPr>
      </w:pP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第二十七条</w:t>
      </w:r>
      <w:r>
        <w:rPr>
          <w:rFonts w:hint="eastAsia" w:ascii="仿宋_GB2312" w:hAnsi="仿宋_GB2312" w:eastAsia="仿宋_GB2312" w:cs="仿宋_GB2312"/>
          <w:color w:val="333333"/>
          <w:sz w:val="32"/>
          <w:u w:color="auto"/>
          <w:lang w:eastAsia="zh-CN"/>
        </w:rPr>
        <w:t>　</w:t>
      </w:r>
      <w:r>
        <w:rPr>
          <w:rFonts w:ascii="仿宋, SimSun" w:hAnsi="仿宋, SimSun" w:eastAsia="仿宋, SimSun" w:cs="仿宋, SimSun"/>
          <w:color w:val="333333"/>
          <w:sz w:val="32"/>
          <w:u w:color="auto"/>
        </w:rPr>
        <w:t>城建档案管理部门应当将城建档案信息化建设纳入本部门信息化建设规划，健全城建档案信息化管理制度，完善标准规范，推动建筑信息模型（BIM）应用，促进城建档案数字资源跨区域、跨部门共享。</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第二十八条</w:t>
      </w:r>
      <w:r>
        <w:rPr>
          <w:rFonts w:hint="eastAsia" w:ascii="黑体, SimHei" w:hAnsi="黑体, SimHei" w:eastAsia="黑体, SimHei" w:cs="黑体, SimHei"/>
          <w:color w:val="333333"/>
          <w:sz w:val="32"/>
          <w:u w:color="auto"/>
          <w:lang w:eastAsia="zh-CN"/>
        </w:rPr>
        <w:t>　</w:t>
      </w:r>
      <w:r>
        <w:rPr>
          <w:rFonts w:ascii="仿宋, SimSun" w:hAnsi="仿宋, SimSun" w:eastAsia="仿宋, SimSun" w:cs="仿宋, SimSun"/>
          <w:color w:val="333333"/>
          <w:sz w:val="32"/>
          <w:u w:color="auto"/>
        </w:rPr>
        <w:t>城建档案机构应当加强城建档案数字资源的收集、保管和利用，配备满足档案信息化建设管理需要的设施设备，保障城建档案数字资源的安全保存和有效利用；加强传统载体档案数字化，推进电子档案形成、收集、整理、移交、保管、利用全过程管理，实现与相关业务系统的协同和数据共享。</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第二十九条</w:t>
      </w:r>
      <w:r>
        <w:rPr>
          <w:rFonts w:hint="eastAsia" w:ascii="黑体, SimHei" w:hAnsi="黑体, SimHei" w:eastAsia="黑体, SimHei" w:cs="黑体, SimHei"/>
          <w:color w:val="333333"/>
          <w:sz w:val="32"/>
          <w:u w:color="auto"/>
          <w:lang w:eastAsia="zh-CN"/>
        </w:rPr>
        <w:t>　</w:t>
      </w:r>
      <w:r>
        <w:rPr>
          <w:rFonts w:ascii="仿宋, SimSun" w:hAnsi="仿宋, SimSun" w:eastAsia="仿宋, SimSun" w:cs="仿宋, SimSun"/>
          <w:color w:val="333333"/>
          <w:sz w:val="32"/>
          <w:u w:color="auto"/>
        </w:rPr>
        <w:t>城建档案机构收集的电子档案应当来源可靠、程序规范、要素合规，符合有效保存的要求。电子档案与传统载体档案具有同等效力，可以以电子形式作为凭证使用。</w:t>
      </w:r>
      <w:r>
        <w:cr/>
      </w: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第三十条</w:t>
      </w:r>
      <w:r>
        <w:rPr>
          <w:rFonts w:hint="eastAsia" w:ascii="黑体, SimHei" w:hAnsi="黑体, SimHei" w:eastAsia="黑体, SimHei" w:cs="黑体, SimHei"/>
          <w:color w:val="333333"/>
          <w:sz w:val="32"/>
          <w:u w:color="auto"/>
          <w:lang w:eastAsia="zh-CN"/>
        </w:rPr>
        <w:t>　</w:t>
      </w:r>
      <w:r>
        <w:rPr>
          <w:rFonts w:ascii="仿宋, SimSun" w:hAnsi="仿宋, SimSun" w:eastAsia="仿宋, SimSun" w:cs="仿宋, SimSun"/>
          <w:color w:val="333333"/>
          <w:sz w:val="32"/>
          <w:u w:color="auto"/>
        </w:rPr>
        <w:t>城建档案机构应当对建设工程竣工图等重要电子档案实行异质、异地多套备份，定期对电子档案保管情况进行检测，保证档案数字资源的安全、长久可用以及在应急状态时快速启用。</w:t>
      </w:r>
    </w:p>
    <w:p w14:paraId="58517A96">
      <w:pPr>
        <w:widowControl/>
        <w:jc w:val="left"/>
        <w:rPr>
          <w:rFonts w:ascii="仿宋, SimSun" w:hAnsi="仿宋, SimSun" w:eastAsia="仿宋, SimSun" w:cs="仿宋, SimSun"/>
          <w:color w:val="333333"/>
          <w:sz w:val="32"/>
          <w:u w:color="auto"/>
        </w:rPr>
      </w:pPr>
    </w:p>
    <w:p w14:paraId="70EE15D6">
      <w:pPr>
        <w:widowControl/>
        <w:jc w:val="center"/>
        <w:rPr>
          <w:rFonts w:ascii="黑体, SimHei" w:hAnsi="黑体, SimHei" w:eastAsia="黑体, SimHei" w:cs="黑体, SimHei"/>
          <w:color w:val="333333"/>
          <w:sz w:val="32"/>
          <w:u w:color="auto"/>
        </w:rPr>
      </w:pPr>
      <w:r>
        <w:rPr>
          <w:rFonts w:ascii="黑体, SimHei" w:hAnsi="黑体, SimHei" w:eastAsia="黑体, SimHei" w:cs="黑体, SimHei"/>
          <w:color w:val="333333"/>
          <w:sz w:val="32"/>
          <w:u w:color="auto"/>
        </w:rPr>
        <w:t>第六章</w:t>
      </w:r>
      <w:r>
        <w:rPr>
          <w:rFonts w:hint="eastAsia" w:ascii="黑体, SimHei" w:hAnsi="黑体, SimHei" w:eastAsia="黑体, SimHei" w:cs="黑体, SimHei"/>
          <w:color w:val="333333"/>
          <w:sz w:val="32"/>
          <w:u w:color="auto"/>
          <w:lang w:eastAsia="zh-CN"/>
        </w:rPr>
        <w:t>　</w:t>
      </w:r>
      <w:r>
        <w:rPr>
          <w:rFonts w:ascii="黑体, SimHei" w:hAnsi="黑体, SimHei" w:eastAsia="黑体, SimHei" w:cs="黑体, SimHei"/>
          <w:color w:val="333333"/>
          <w:sz w:val="32"/>
          <w:u w:color="auto"/>
        </w:rPr>
        <w:t>法律责任</w:t>
      </w:r>
    </w:p>
    <w:p w14:paraId="652DB413">
      <w:pPr>
        <w:widowControl/>
        <w:jc w:val="center"/>
        <w:rPr>
          <w:rFonts w:ascii="黑体, SimHei" w:hAnsi="黑体, SimHei" w:eastAsia="黑体, SimHei" w:cs="黑体, SimHei"/>
          <w:color w:val="333333"/>
          <w:sz w:val="32"/>
          <w:u w:color="auto"/>
        </w:rPr>
      </w:pPr>
    </w:p>
    <w:p w14:paraId="5424091C">
      <w:pPr>
        <w:widowControl/>
        <w:jc w:val="left"/>
        <w:rPr>
          <w:rFonts w:ascii="仿宋, SimSun" w:hAnsi="仿宋, SimSun" w:eastAsia="仿宋, SimSun" w:cs="仿宋, SimSun"/>
          <w:color w:val="333333"/>
          <w:sz w:val="32"/>
          <w:u w:color="auto"/>
        </w:rPr>
      </w:pP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第三十一条</w:t>
      </w:r>
      <w:r>
        <w:rPr>
          <w:rFonts w:hint="eastAsia" w:ascii="黑体, SimHei" w:hAnsi="黑体, SimHei" w:eastAsia="黑体, SimHei" w:cs="黑体, SimHei"/>
          <w:color w:val="333333"/>
          <w:sz w:val="32"/>
          <w:u w:color="auto"/>
          <w:lang w:eastAsia="zh-CN"/>
        </w:rPr>
        <w:t>　</w:t>
      </w:r>
      <w:r>
        <w:rPr>
          <w:rFonts w:ascii="仿宋, SimSun" w:hAnsi="仿宋, SimSun" w:eastAsia="仿宋, SimSun" w:cs="仿宋, SimSun"/>
          <w:color w:val="333333"/>
          <w:sz w:val="32"/>
          <w:u w:color="auto"/>
        </w:rPr>
        <w:t>单位或者个人在城建档案形成、收集、整理、移交、保管、利用等活动中有违反本规定行为的，依据《中华人民共和国档案法》、《中华人民共和国档案法实施条例》、《建设工程质量管理条例》等法律法规予以处罚。</w:t>
      </w:r>
      <w:r>
        <w:cr/>
      </w:r>
      <w:r>
        <w:rPr>
          <w:rFonts w:hint="eastAsia" w:ascii="仿宋_GB2312" w:hAnsi="仿宋_GB2312" w:eastAsia="仿宋_GB2312" w:cs="仿宋_GB2312"/>
          <w:color w:val="333333"/>
          <w:sz w:val="32"/>
          <w:u w:color="auto"/>
          <w:lang w:eastAsia="zh-CN"/>
        </w:rPr>
        <w:t>　　</w:t>
      </w:r>
      <w:bookmarkStart w:id="0" w:name="_GoBack"/>
      <w:bookmarkEnd w:id="0"/>
      <w:r>
        <w:rPr>
          <w:rFonts w:ascii="黑体, SimHei" w:hAnsi="黑体, SimHei" w:eastAsia="黑体, SimHei" w:cs="黑体, SimHei"/>
          <w:color w:val="333333"/>
          <w:sz w:val="32"/>
          <w:u w:color="auto"/>
        </w:rPr>
        <w:t>第三十二条</w:t>
      </w:r>
      <w:r>
        <w:rPr>
          <w:rFonts w:hint="eastAsia" w:ascii="黑体, SimHei" w:hAnsi="黑体, SimHei" w:eastAsia="黑体, SimHei" w:cs="黑体, SimHei"/>
          <w:color w:val="333333"/>
          <w:sz w:val="32"/>
          <w:u w:color="auto"/>
          <w:lang w:eastAsia="zh-CN"/>
        </w:rPr>
        <w:t>　</w:t>
      </w:r>
      <w:r>
        <w:rPr>
          <w:rFonts w:ascii="仿宋, SimSun" w:hAnsi="仿宋, SimSun" w:eastAsia="仿宋, SimSun" w:cs="仿宋, SimSun"/>
          <w:color w:val="333333"/>
          <w:sz w:val="32"/>
          <w:u w:color="auto"/>
        </w:rPr>
        <w:t>城建档案管理部门应当建立健全城建档案信用信息归集、评价、应用机制，按照规定将城建档案管理相关信用信息归集到公共信用信息平台，并依法采取守信激励和失信惩戒措施。</w:t>
      </w:r>
    </w:p>
    <w:p w14:paraId="253428A6">
      <w:pPr>
        <w:widowControl/>
        <w:jc w:val="left"/>
        <w:rPr>
          <w:rFonts w:ascii="仿宋, SimSun" w:hAnsi="仿宋, SimSun" w:eastAsia="仿宋, SimSun" w:cs="仿宋, SimSun"/>
          <w:color w:val="333333"/>
          <w:sz w:val="32"/>
          <w:u w:color="auto"/>
        </w:rPr>
      </w:pPr>
    </w:p>
    <w:p w14:paraId="180B78CE">
      <w:pPr>
        <w:widowControl/>
        <w:jc w:val="left"/>
        <w:rPr>
          <w:rFonts w:ascii="仿宋, SimSun" w:hAnsi="仿宋, SimSun" w:eastAsia="仿宋, SimSun" w:cs="仿宋, SimSun"/>
          <w:color w:val="333333"/>
          <w:sz w:val="32"/>
          <w:u w:color="auto"/>
        </w:rPr>
      </w:pPr>
    </w:p>
    <w:p w14:paraId="297F9F9D">
      <w:pPr>
        <w:widowControl/>
        <w:jc w:val="left"/>
        <w:rPr>
          <w:rFonts w:ascii="仿宋, SimSun" w:hAnsi="仿宋, SimSun" w:eastAsia="仿宋, SimSun" w:cs="仿宋, SimSun"/>
          <w:color w:val="333333"/>
          <w:sz w:val="32"/>
          <w:u w:color="auto"/>
        </w:rPr>
      </w:pPr>
    </w:p>
    <w:p w14:paraId="6074A501">
      <w:pPr>
        <w:widowControl/>
        <w:jc w:val="center"/>
        <w:rPr>
          <w:rFonts w:ascii="黑体, SimHei" w:hAnsi="黑体, SimHei" w:eastAsia="黑体, SimHei" w:cs="黑体, SimHei"/>
          <w:color w:val="333333"/>
          <w:sz w:val="32"/>
          <w:u w:color="auto"/>
        </w:rPr>
      </w:pPr>
      <w:r>
        <w:rPr>
          <w:rFonts w:ascii="黑体, SimHei" w:hAnsi="黑体, SimHei" w:eastAsia="黑体, SimHei" w:cs="黑体, SimHei"/>
          <w:color w:val="333333"/>
          <w:sz w:val="32"/>
          <w:u w:color="auto"/>
        </w:rPr>
        <w:t>第七章</w:t>
      </w:r>
      <w:r>
        <w:rPr>
          <w:rFonts w:hint="eastAsia" w:ascii="黑体, SimHei" w:hAnsi="黑体, SimHei" w:eastAsia="黑体, SimHei" w:cs="黑体, SimHei"/>
          <w:color w:val="333333"/>
          <w:sz w:val="32"/>
          <w:u w:color="auto"/>
          <w:lang w:eastAsia="zh-CN"/>
        </w:rPr>
        <w:t>　</w:t>
      </w:r>
      <w:r>
        <w:rPr>
          <w:rFonts w:ascii="黑体, SimHei" w:hAnsi="黑体, SimHei" w:eastAsia="黑体, SimHei" w:cs="黑体, SimHei"/>
          <w:color w:val="333333"/>
          <w:sz w:val="32"/>
          <w:u w:color="auto"/>
        </w:rPr>
        <w:t>附则</w:t>
      </w:r>
    </w:p>
    <w:p w14:paraId="75516FA7">
      <w:pPr>
        <w:widowControl/>
        <w:jc w:val="center"/>
        <w:rPr>
          <w:rFonts w:ascii="黑体, SimHei" w:hAnsi="黑体, SimHei" w:eastAsia="黑体, SimHei" w:cs="黑体, SimHei"/>
          <w:color w:val="333333"/>
          <w:sz w:val="32"/>
          <w:u w:color="auto"/>
        </w:rPr>
      </w:pPr>
    </w:p>
    <w:p w14:paraId="0FECDF61">
      <w:pPr>
        <w:widowControl/>
        <w:jc w:val="left"/>
        <w:rPr>
          <w:rFonts w:ascii="仿宋_GB2312" w:hAnsi="仿宋_GB2312" w:eastAsia="仿宋_GB2312"/>
          <w:sz w:val="32"/>
          <w:szCs w:val="32"/>
        </w:rPr>
      </w:pPr>
      <w:r>
        <w:rPr>
          <w:rFonts w:hint="eastAsia" w:ascii="仿宋_GB2312" w:hAnsi="仿宋_GB2312" w:eastAsia="仿宋_GB2312" w:cs="仿宋_GB2312"/>
          <w:color w:val="333333"/>
          <w:sz w:val="32"/>
          <w:u w:color="auto"/>
          <w:lang w:eastAsia="zh-CN"/>
        </w:rPr>
        <w:t>　　</w:t>
      </w:r>
      <w:r>
        <w:rPr>
          <w:rFonts w:ascii="黑体, SimHei" w:hAnsi="黑体, SimHei" w:eastAsia="黑体, SimHei" w:cs="黑体, SimHei"/>
          <w:color w:val="333333"/>
          <w:sz w:val="32"/>
          <w:u w:color="auto"/>
        </w:rPr>
        <w:t>第三十三条</w:t>
      </w:r>
      <w:r>
        <w:rPr>
          <w:rFonts w:hint="eastAsia" w:ascii="黑体, SimHei" w:hAnsi="黑体, SimHei" w:eastAsia="黑体, SimHei" w:cs="黑体, SimHei"/>
          <w:color w:val="333333"/>
          <w:sz w:val="32"/>
          <w:u w:color="auto"/>
          <w:lang w:eastAsia="zh-CN"/>
        </w:rPr>
        <w:t>　</w:t>
      </w:r>
      <w:r>
        <w:rPr>
          <w:rFonts w:ascii="仿宋, SimSun" w:hAnsi="仿宋, SimSun" w:eastAsia="仿宋, SimSun" w:cs="仿宋, SimSun"/>
          <w:color w:val="333333"/>
          <w:sz w:val="32"/>
          <w:u w:color="auto"/>
        </w:rPr>
        <w:t>本规定自2026年9月1日起施行。原建设部1997年12月23日公布、2001年7月4日第一次修正，住房城乡建设部2011年1月26日第二次修正、2019年3月13日第三次修正的《城市建设档案管理规定》同时废止。</w:t>
      </w:r>
      <w:r>
        <w:cr/>
      </w:r>
    </w:p>
    <w:sectPr>
      <w:headerReference r:id="rId4" w:type="default"/>
      <w:footerReference r:id="rId6" w:type="default"/>
      <w:headerReference r:id="rId5" w:type="even"/>
      <w:footerReference r:id="rId7" w:type="even"/>
      <w:pgSz w:w="11906" w:h="16838"/>
      <w:pgMar w:top="1962" w:right="1474" w:bottom="1848" w:left="1587" w:header="851" w:footer="992" w:gutter="0"/>
      <w:pgNumType w:fmt="decimal"/>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Calibri">
    <w:panose1 w:val="020F0502020204030204"/>
    <w:charset w:val="86"/>
    <w:family w:val="roman"/>
    <w:pitch w:val="default"/>
    <w:sig w:usb0="E00002FF" w:usb1="4000ACFF" w:usb2="00000001" w:usb3="00000000" w:csb0="2000019F" w:csb1="00000000"/>
  </w:font>
  <w:font w:name="Liberation Sans">
    <w:altName w:val="宋体"/>
    <w:panose1 w:val="00000000000000000000"/>
    <w:charset w:val="86"/>
    <w:family w:val="roman"/>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Noto Sans CJK SC">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仿宋_GB2312">
    <w:panose1 w:val="02010609030101010101"/>
    <w:charset w:val="86"/>
    <w:family w:val="roman"/>
    <w:pitch w:val="default"/>
    <w:sig w:usb0="00000001" w:usb1="080E0000" w:usb2="00000000" w:usb3="00000000" w:csb0="00040000" w:csb1="00000000"/>
  </w:font>
  <w:font w:name="黑体, SimHei">
    <w:altName w:val="黑体"/>
    <w:panose1 w:val="00000000000000000000"/>
    <w:charset w:val="00"/>
    <w:family w:val="auto"/>
    <w:pitch w:val="default"/>
    <w:sig w:usb0="00000000" w:usb1="00000000" w:usb2="00000000" w:usb3="00000000" w:csb0="00000000" w:csb1="00000000"/>
  </w:font>
  <w:font w:name="仿宋, SimSun">
    <w:altName w:val="仿宋"/>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DAF23">
    <w:pPr>
      <w:pStyle w:val="6"/>
      <w:ind w:left="4788" w:firstLine="6400"/>
      <w:rPr>
        <w:rFonts w:eastAsia="仿宋"/>
        <w:sz w:val="32"/>
        <w:szCs w:val="48"/>
        <w:lang w:val="en-US" w:eastAsia="zh-CN"/>
      </w:rPr>
    </w:pPr>
    <w: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829435" cy="201295"/>
              <wp:effectExtent l="0" t="0" r="0" b="0"/>
              <wp:wrapNone/>
              <wp:docPr id="8" name="文本框 8_0"/>
              <wp:cNvGraphicFramePr/>
              <a:graphic xmlns:a="http://schemas.openxmlformats.org/drawingml/2006/main">
                <a:graphicData uri="http://schemas.microsoft.com/office/word/2010/wordprocessingShape">
                  <wps:wsp>
                    <wps:cNvSpPr/>
                    <wps:spPr>
                      <a:xfrm>
                        <a:off x="0" y="0"/>
                        <a:ext cx="1829520" cy="201240"/>
                      </a:xfrm>
                      <a:prstGeom prst="rect">
                        <a:avLst/>
                      </a:prstGeom>
                      <a:noFill/>
                      <a:ln w="6350">
                        <a:noFill/>
                      </a:ln>
                    </wps:spPr>
                    <wps:style>
                      <a:lnRef idx="0">
                        <a:schemeClr val="accent1"/>
                      </a:lnRef>
                      <a:fillRef idx="0">
                        <a:schemeClr val="accent1"/>
                      </a:fillRef>
                      <a:effectRef idx="0">
                        <a:schemeClr val="accent1"/>
                      </a:effectRef>
                      <a:fontRef idx="minor"/>
                    </wps:style>
                    <wps:txbx>
                      <w:txbxContent>
                        <w:p w14:paraId="0A3CCACF">
                          <w:pPr>
                            <w:pStyle w:val="5"/>
                            <w:jc w:val="right"/>
                            <w:rPr>
                              <w:color w:val="000000"/>
                            </w:rPr>
                          </w:pPr>
                          <w:r>
                            <w:rPr>
                              <w:rFonts w:ascii="宋体" w:hAnsi="宋体" w:eastAsia="宋体" w:cs="宋体"/>
                              <w:color w:val="000000"/>
                              <w:sz w:val="28"/>
                              <w:szCs w:val="28"/>
                            </w:rPr>
                            <w:t>-</w:t>
                          </w:r>
                          <w:r>
                            <w:rPr>
                              <w:rFonts w:ascii="宋体" w:hAnsi="宋体" w:eastAsia="宋体" w:cs="宋体"/>
                              <w:color w:val="000000"/>
                              <w:sz w:val="28"/>
                              <w:szCs w:val="28"/>
                            </w:rPr>
                            <w:fldChar w:fldCharType="begin"/>
                          </w:r>
                          <w:r>
                            <w:rPr>
                              <w:rFonts w:ascii="宋体" w:hAnsi="宋体" w:eastAsia="宋体" w:cs="宋体"/>
                              <w:color w:val="000000"/>
                              <w:sz w:val="28"/>
                              <w:szCs w:val="28"/>
                            </w:rPr>
                            <w:instrText xml:space="preserve"> PAGE </w:instrText>
                          </w:r>
                          <w:r>
                            <w:rPr>
                              <w:rFonts w:ascii="宋体" w:hAnsi="宋体" w:eastAsia="宋体" w:cs="宋体"/>
                              <w:color w:val="000000"/>
                              <w:sz w:val="28"/>
                              <w:szCs w:val="28"/>
                            </w:rPr>
                            <w:fldChar w:fldCharType="separate"/>
                          </w:r>
                          <w:r>
                            <w:rPr>
                              <w:rFonts w:ascii="宋体" w:hAnsi="宋体" w:eastAsia="宋体" w:cs="宋体"/>
                              <w:color w:val="000000"/>
                              <w:sz w:val="28"/>
                              <w:szCs w:val="28"/>
                            </w:rPr>
                            <w:t>1</w:t>
                          </w:r>
                          <w:r>
                            <w:rPr>
                              <w:rFonts w:ascii="宋体" w:hAnsi="宋体" w:eastAsia="宋体" w:cs="宋体"/>
                              <w:color w:val="000000"/>
                              <w:sz w:val="28"/>
                              <w:szCs w:val="28"/>
                            </w:rPr>
                            <w:fldChar w:fldCharType="end"/>
                          </w:r>
                          <w:r>
                            <w:rPr>
                              <w:rFonts w:ascii="宋体" w:hAnsi="宋体" w:eastAsia="宋体" w:cs="宋体"/>
                              <w:color w:val="000000"/>
                              <w:sz w:val="28"/>
                              <w:szCs w:val="28"/>
                            </w:rPr>
                            <w:t>-</w:t>
                          </w:r>
                        </w:p>
                      </w:txbxContent>
                    </wps:txbx>
                    <wps:bodyPr lIns="0" tIns="0" rIns="0" bIns="0" anchor="t">
                      <a:spAutoFit/>
                    </wps:bodyPr>
                  </wps:wsp>
                </a:graphicData>
              </a:graphic>
            </wp:anchor>
          </w:drawing>
        </mc:Choice>
        <mc:Fallback>
          <w:pict>
            <v:rect id="文本框 8_0" o:spid="_x0000_s1026" o:spt="1" style="position:absolute;left:0pt;margin-top:0.05pt;height:15.85pt;width:144.05pt;mso-position-horizontal:right;mso-position-horizontal-relative:margin;z-index:-251657216;mso-width-relative:page;mso-height-relative:page;" filled="f" stroked="f" coordsize="21600,21600" o:allowincell="f" o:gfxdata="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bYUx7TAAAABAEAAA8AAAAAAAAAAQAgAAAAIgAAAGRycy9kb3ducmV2&#10;LnhtbFBLAQIUABQAAAAIAIdO4kA+6uFDyAEAAIwDAAAOAAAAAAAAAAEAIAAAACIBAABkcnMvZTJv&#10;RG9jLnhtbFBLBQYAAAAABgAGAFkBAABcBQAAAAA=&#10;">
              <v:fill on="f" focussize="0,0"/>
              <v:stroke on="f" weight="0.5pt"/>
              <v:imagedata o:title=""/>
              <o:lock v:ext="edit" aspectratio="f"/>
              <v:textbox inset="0mm,0mm,0mm,0mm" style="mso-fit-shape-to-text:t;">
                <w:txbxContent>
                  <w:p w14:paraId="0A3CCACF">
                    <w:pPr>
                      <w:pStyle w:val="5"/>
                      <w:jc w:val="right"/>
                      <w:rPr>
                        <w:color w:val="000000"/>
                      </w:rPr>
                    </w:pPr>
                    <w:r>
                      <w:rPr>
                        <w:rFonts w:ascii="宋体" w:hAnsi="宋体" w:eastAsia="宋体" w:cs="宋体"/>
                        <w:color w:val="000000"/>
                        <w:sz w:val="28"/>
                        <w:szCs w:val="28"/>
                      </w:rPr>
                      <w:t>-</w:t>
                    </w:r>
                    <w:r>
                      <w:rPr>
                        <w:rFonts w:ascii="宋体" w:hAnsi="宋体" w:eastAsia="宋体" w:cs="宋体"/>
                        <w:color w:val="000000"/>
                        <w:sz w:val="28"/>
                        <w:szCs w:val="28"/>
                      </w:rPr>
                      <w:fldChar w:fldCharType="begin"/>
                    </w:r>
                    <w:r>
                      <w:rPr>
                        <w:rFonts w:ascii="宋体" w:hAnsi="宋体" w:eastAsia="宋体" w:cs="宋体"/>
                        <w:color w:val="000000"/>
                        <w:sz w:val="28"/>
                        <w:szCs w:val="28"/>
                      </w:rPr>
                      <w:instrText xml:space="preserve"> PAGE </w:instrText>
                    </w:r>
                    <w:r>
                      <w:rPr>
                        <w:rFonts w:ascii="宋体" w:hAnsi="宋体" w:eastAsia="宋体" w:cs="宋体"/>
                        <w:color w:val="000000"/>
                        <w:sz w:val="28"/>
                        <w:szCs w:val="28"/>
                      </w:rPr>
                      <w:fldChar w:fldCharType="separate"/>
                    </w:r>
                    <w:r>
                      <w:rPr>
                        <w:rFonts w:ascii="宋体" w:hAnsi="宋体" w:eastAsia="宋体" w:cs="宋体"/>
                        <w:color w:val="000000"/>
                        <w:sz w:val="28"/>
                        <w:szCs w:val="28"/>
                      </w:rPr>
                      <w:t>1</w:t>
                    </w:r>
                    <w:r>
                      <w:rPr>
                        <w:rFonts w:ascii="宋体" w:hAnsi="宋体" w:eastAsia="宋体" w:cs="宋体"/>
                        <w:color w:val="000000"/>
                        <w:sz w:val="28"/>
                        <w:szCs w:val="28"/>
                      </w:rPr>
                      <w:fldChar w:fldCharType="end"/>
                    </w:r>
                    <w:r>
                      <w:rPr>
                        <w:rFonts w:ascii="宋体" w:hAnsi="宋体" w:eastAsia="宋体" w:cs="宋体"/>
                        <w:color w:val="000000"/>
                        <w:sz w:val="28"/>
                        <w:szCs w:val="28"/>
                      </w:rPr>
                      <w:t>-</w:t>
                    </w:r>
                  </w:p>
                </w:txbxContent>
              </v:textbox>
            </v:rect>
          </w:pict>
        </mc:Fallback>
      </mc:AlternateContent>
    </w:r>
    <w:r>
      <w:rPr>
        <w:rFonts w:eastAsia="仿宋"/>
        <w:sz w:val="32"/>
        <w:szCs w:val="48"/>
        <w:lang w:val="en-US" w:eastAsia="zh-CN"/>
      </w:rPr>
      <w:t xml:space="preserve">  </w:t>
    </w:r>
  </w:p>
  <w:p w14:paraId="23D04BFD">
    <w:pPr>
      <w:pStyle w:val="6"/>
      <w:ind w:left="4788" w:firstLine="6400"/>
      <w:jc w:val="right"/>
      <w:rPr>
        <w:rFonts w:ascii="宋体" w:hAnsi="宋体" w:eastAsia="宋体" w:cs="宋体"/>
        <w:b/>
        <w:bCs/>
        <w:color w:val="005192"/>
        <w:sz w:val="28"/>
        <w:szCs w:val="44"/>
        <w:lang w:val="en-US" w:eastAsia="zh-CN"/>
      </w:rPr>
    </w:pPr>
    <w:r>
      <mc:AlternateContent>
        <mc:Choice Requires="wps">
          <w:drawing>
            <wp:anchor distT="10795" distB="15875" distL="0" distR="3175" simplePos="0" relativeHeight="251659264" behindDoc="1" locked="0" layoutInCell="0" allowOverlap="1">
              <wp:simplePos x="0" y="0"/>
              <wp:positionH relativeFrom="column">
                <wp:posOffset>0</wp:posOffset>
              </wp:positionH>
              <wp:positionV relativeFrom="paragraph">
                <wp:posOffset>74295</wp:posOffset>
              </wp:positionV>
              <wp:extent cx="5617210" cy="1905"/>
              <wp:effectExtent l="635" t="11430" r="635" b="11430"/>
              <wp:wrapNone/>
              <wp:docPr id="10" name="直接连接符 5_0"/>
              <wp:cNvGraphicFramePr/>
              <a:graphic xmlns:a="http://schemas.openxmlformats.org/drawingml/2006/main">
                <a:graphicData uri="http://schemas.microsoft.com/office/word/2010/wordprocessingShape">
                  <wps:wsp>
                    <wps:cNvCnPr/>
                    <wps:spPr>
                      <a:xfrm>
                        <a:off x="0" y="0"/>
                        <a:ext cx="5617080" cy="1800"/>
                      </a:xfrm>
                      <a:prstGeom prst="line">
                        <a:avLst/>
                      </a:prstGeom>
                      <a:ln w="22225">
                        <a:solidFill>
                          <a:srgbClr val="005192"/>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直接连接符 5_0" o:spid="_x0000_s1026" o:spt="20" style="position:absolute;left:0pt;margin-left:0pt;margin-top:5.85pt;height:0.15pt;width:442.3pt;z-index:-251657216;mso-width-relative:page;mso-height-relative:page;" filled="f" stroked="t" coordsize="21600,21600" o:allowincell="f" o:gfxdata="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CKMWLT&#10;AAAABgEAAA8AAAAAAAAAAQAgAAAAIgAAAGRycy9kb3ducmV2LnhtbFBLAQIUABQAAAAIAIdO4kBM&#10;zlg27AEAALgDAAAOAAAAAAAAAAEAIAAAACIBAABkcnMvZTJvRG9jLnhtbFBLBQYAAAAABgAGAFkB&#10;AACABQAAAAA=&#10;">
              <v:fill on="f" focussize="0,0"/>
              <v:stroke weight="1.75pt" color="#005192 [3204]" miterlimit="8" joinstyle="miter"/>
              <v:imagedata o:title=""/>
              <o:lock v:ext="edit" aspectratio="f"/>
            </v:line>
          </w:pict>
        </mc:Fallback>
      </mc:AlternateContent>
    </w:r>
    <w:r>
      <w:rPr>
        <w:rFonts w:eastAsia="仿宋"/>
        <w:color w:val="FAFAFA"/>
        <w:sz w:val="32"/>
        <w:szCs w:val="48"/>
        <w:lang w:val="en-US" w:eastAsia="zh-CN"/>
      </w:rPr>
      <w:t>X</w:t>
    </w:r>
    <w:r>
      <w:rPr>
        <w:rFonts w:ascii="宋体" w:hAnsi="宋体" w:eastAsia="宋体" w:cs="宋体"/>
        <w:b/>
        <w:bCs/>
        <w:color w:val="005192"/>
        <w:sz w:val="28"/>
        <w:szCs w:val="44"/>
        <w:lang w:val="en-US" w:eastAsia="zh-Hans"/>
      </w:rPr>
      <w:t>住房和城乡建设部</w:t>
    </w:r>
    <w:r>
      <w:rPr>
        <w:rFonts w:ascii="宋体" w:hAnsi="宋体" w:cs="宋体"/>
        <w:b/>
        <w:bCs/>
        <w:color w:val="005192"/>
        <w:sz w:val="28"/>
        <w:szCs w:val="44"/>
        <w:lang w:val="en-US" w:eastAsia="zh-CN"/>
      </w:rPr>
      <w:t xml:space="preserve">发布     </w:t>
    </w:r>
  </w:p>
  <w:p w14:paraId="3C15AA12">
    <w:pPr>
      <w:pStyle w:val="6"/>
      <w:ind w:left="4788" w:firstLine="5622"/>
      <w:jc w:val="right"/>
      <w:rPr>
        <w:rFonts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42D3A">
    <w:pPr>
      <w:pStyle w:val="6"/>
      <w:ind w:left="4788" w:firstLine="6400"/>
      <w:rPr>
        <w:rFonts w:eastAsia="仿宋"/>
        <w:sz w:val="32"/>
        <w:szCs w:val="48"/>
        <w:lang w:val="en-US" w:eastAsia="zh-CN"/>
      </w:rPr>
    </w:pPr>
    <w:r>
      <mc:AlternateContent>
        <mc:Choice Requires="wps">
          <w:drawing>
            <wp:anchor distT="0" distB="0" distL="0" distR="0" simplePos="0" relativeHeight="251659264" behindDoc="1" locked="0" layoutInCell="0" allowOverlap="1">
              <wp:simplePos x="0" y="0"/>
              <wp:positionH relativeFrom="margin">
                <wp:align>outside</wp:align>
              </wp:positionH>
              <wp:positionV relativeFrom="paragraph">
                <wp:posOffset>635</wp:posOffset>
              </wp:positionV>
              <wp:extent cx="1829435" cy="201295"/>
              <wp:effectExtent l="0" t="0" r="0" b="0"/>
              <wp:wrapNone/>
              <wp:docPr id="5" name="文本框 8_1"/>
              <wp:cNvGraphicFramePr/>
              <a:graphic xmlns:a="http://schemas.openxmlformats.org/drawingml/2006/main">
                <a:graphicData uri="http://schemas.microsoft.com/office/word/2010/wordprocessingShape">
                  <wps:wsp>
                    <wps:cNvSpPr/>
                    <wps:spPr>
                      <a:xfrm>
                        <a:off x="0" y="0"/>
                        <a:ext cx="1829520" cy="201240"/>
                      </a:xfrm>
                      <a:prstGeom prst="rect">
                        <a:avLst/>
                      </a:prstGeom>
                      <a:noFill/>
                      <a:ln w="6350">
                        <a:noFill/>
                      </a:ln>
                    </wps:spPr>
                    <wps:style>
                      <a:lnRef idx="0">
                        <a:schemeClr val="accent1"/>
                      </a:lnRef>
                      <a:fillRef idx="0">
                        <a:schemeClr val="accent1"/>
                      </a:fillRef>
                      <a:effectRef idx="0">
                        <a:schemeClr val="accent1"/>
                      </a:effectRef>
                      <a:fontRef idx="minor"/>
                    </wps:style>
                    <wps:txbx>
                      <w:txbxContent>
                        <w:p w14:paraId="62725EB8">
                          <w:pPr>
                            <w:pStyle w:val="5"/>
                            <w:rPr>
                              <w:color w:val="000000"/>
                            </w:rPr>
                          </w:pPr>
                          <w:r>
                            <w:rPr>
                              <w:rFonts w:ascii="宋体" w:hAnsi="宋体" w:eastAsia="宋体" w:cs="宋体"/>
                              <w:color w:val="000000"/>
                              <w:sz w:val="28"/>
                              <w:szCs w:val="28"/>
                            </w:rPr>
                            <w:t>-</w:t>
                          </w:r>
                          <w:r>
                            <w:rPr>
                              <w:rFonts w:ascii="宋体" w:hAnsi="宋体" w:eastAsia="宋体" w:cs="宋体"/>
                              <w:color w:val="000000"/>
                              <w:sz w:val="28"/>
                              <w:szCs w:val="28"/>
                            </w:rPr>
                            <w:fldChar w:fldCharType="begin"/>
                          </w:r>
                          <w:r>
                            <w:rPr>
                              <w:rFonts w:ascii="宋体" w:hAnsi="宋体" w:eastAsia="宋体" w:cs="宋体"/>
                              <w:color w:val="000000"/>
                              <w:sz w:val="28"/>
                              <w:szCs w:val="28"/>
                            </w:rPr>
                            <w:instrText xml:space="preserve"> PAGE </w:instrText>
                          </w:r>
                          <w:r>
                            <w:rPr>
                              <w:rFonts w:ascii="宋体" w:hAnsi="宋体" w:eastAsia="宋体" w:cs="宋体"/>
                              <w:color w:val="000000"/>
                              <w:sz w:val="28"/>
                              <w:szCs w:val="28"/>
                            </w:rPr>
                            <w:fldChar w:fldCharType="separate"/>
                          </w:r>
                          <w:r>
                            <w:rPr>
                              <w:rFonts w:ascii="宋体" w:hAnsi="宋体" w:eastAsia="宋体" w:cs="宋体"/>
                              <w:color w:val="000000"/>
                              <w:sz w:val="28"/>
                              <w:szCs w:val="28"/>
                            </w:rPr>
                            <w:t>2</w:t>
                          </w:r>
                          <w:r>
                            <w:rPr>
                              <w:rFonts w:ascii="宋体" w:hAnsi="宋体" w:eastAsia="宋体" w:cs="宋体"/>
                              <w:color w:val="000000"/>
                              <w:sz w:val="28"/>
                              <w:szCs w:val="28"/>
                            </w:rPr>
                            <w:fldChar w:fldCharType="end"/>
                          </w:r>
                          <w:r>
                            <w:rPr>
                              <w:rFonts w:ascii="宋体" w:hAnsi="宋体" w:eastAsia="宋体" w:cs="宋体"/>
                              <w:color w:val="000000"/>
                              <w:sz w:val="28"/>
                              <w:szCs w:val="28"/>
                            </w:rPr>
                            <w:t>-</w:t>
                          </w:r>
                        </w:p>
                      </w:txbxContent>
                    </wps:txbx>
                    <wps:bodyPr lIns="0" tIns="0" rIns="0" bIns="0" anchor="t">
                      <a:spAutoFit/>
                    </wps:bodyPr>
                  </wps:wsp>
                </a:graphicData>
              </a:graphic>
            </wp:anchor>
          </w:drawing>
        </mc:Choice>
        <mc:Fallback>
          <w:pict>
            <v:rect id="文本框 8_1" o:spid="_x0000_s1026" o:spt="1" style="position:absolute;left:0pt;margin-top:0.05pt;height:15.85pt;width:144.05pt;mso-position-horizontal:outside;mso-position-horizontal-relative:margin;z-index:-251657216;mso-width-relative:page;mso-height-relative:page;" filled="f" stroked="f" coordsize="21600,21600" o:allowincell="f" o:gfxdata="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m2FMe0wAAAAQBAAAPAAAAAAAAAAEAIAAAACIAAABkcnMvZG93bnJl&#10;di54bWxQSwECFAAUAAAACACHTuJAlzgqwMkBAACMAwAADgAAAAAAAAABACAAAAAiAQAAZHJzL2Uy&#10;b0RvYy54bWxQSwUGAAAAAAYABgBZAQAAXQUAAAAA&#10;">
              <v:fill on="f" focussize="0,0"/>
              <v:stroke on="f" weight="0.5pt"/>
              <v:imagedata o:title=""/>
              <o:lock v:ext="edit" aspectratio="f"/>
              <v:textbox inset="0mm,0mm,0mm,0mm" style="mso-fit-shape-to-text:t;">
                <w:txbxContent>
                  <w:p w14:paraId="62725EB8">
                    <w:pPr>
                      <w:pStyle w:val="5"/>
                      <w:rPr>
                        <w:color w:val="000000"/>
                      </w:rPr>
                    </w:pPr>
                    <w:r>
                      <w:rPr>
                        <w:rFonts w:ascii="宋体" w:hAnsi="宋体" w:eastAsia="宋体" w:cs="宋体"/>
                        <w:color w:val="000000"/>
                        <w:sz w:val="28"/>
                        <w:szCs w:val="28"/>
                      </w:rPr>
                      <w:t>-</w:t>
                    </w:r>
                    <w:r>
                      <w:rPr>
                        <w:rFonts w:ascii="宋体" w:hAnsi="宋体" w:eastAsia="宋体" w:cs="宋体"/>
                        <w:color w:val="000000"/>
                        <w:sz w:val="28"/>
                        <w:szCs w:val="28"/>
                      </w:rPr>
                      <w:fldChar w:fldCharType="begin"/>
                    </w:r>
                    <w:r>
                      <w:rPr>
                        <w:rFonts w:ascii="宋体" w:hAnsi="宋体" w:eastAsia="宋体" w:cs="宋体"/>
                        <w:color w:val="000000"/>
                        <w:sz w:val="28"/>
                        <w:szCs w:val="28"/>
                      </w:rPr>
                      <w:instrText xml:space="preserve"> PAGE </w:instrText>
                    </w:r>
                    <w:r>
                      <w:rPr>
                        <w:rFonts w:ascii="宋体" w:hAnsi="宋体" w:eastAsia="宋体" w:cs="宋体"/>
                        <w:color w:val="000000"/>
                        <w:sz w:val="28"/>
                        <w:szCs w:val="28"/>
                      </w:rPr>
                      <w:fldChar w:fldCharType="separate"/>
                    </w:r>
                    <w:r>
                      <w:rPr>
                        <w:rFonts w:ascii="宋体" w:hAnsi="宋体" w:eastAsia="宋体" w:cs="宋体"/>
                        <w:color w:val="000000"/>
                        <w:sz w:val="28"/>
                        <w:szCs w:val="28"/>
                      </w:rPr>
                      <w:t>2</w:t>
                    </w:r>
                    <w:r>
                      <w:rPr>
                        <w:rFonts w:ascii="宋体" w:hAnsi="宋体" w:eastAsia="宋体" w:cs="宋体"/>
                        <w:color w:val="000000"/>
                        <w:sz w:val="28"/>
                        <w:szCs w:val="28"/>
                      </w:rPr>
                      <w:fldChar w:fldCharType="end"/>
                    </w:r>
                    <w:r>
                      <w:rPr>
                        <w:rFonts w:ascii="宋体" w:hAnsi="宋体" w:eastAsia="宋体" w:cs="宋体"/>
                        <w:color w:val="000000"/>
                        <w:sz w:val="28"/>
                        <w:szCs w:val="28"/>
                      </w:rPr>
                      <w:t>-</w:t>
                    </w:r>
                  </w:p>
                </w:txbxContent>
              </v:textbox>
            </v:rect>
          </w:pict>
        </mc:Fallback>
      </mc:AlternateContent>
    </w:r>
    <w:r>
      <w:rPr>
        <w:rFonts w:eastAsia="仿宋"/>
        <w:sz w:val="32"/>
        <w:szCs w:val="48"/>
        <w:lang w:val="en-US" w:eastAsia="zh-CN"/>
      </w:rPr>
      <w:t xml:space="preserve">  </w:t>
    </w:r>
  </w:p>
  <w:p w14:paraId="4E42DB13">
    <w:pPr>
      <w:pStyle w:val="6"/>
      <w:ind w:left="4788" w:firstLine="6400"/>
      <w:jc w:val="right"/>
      <w:rPr>
        <w:rFonts w:ascii="宋体" w:hAnsi="宋体" w:eastAsia="宋体" w:cs="宋体"/>
        <w:b/>
        <w:bCs/>
        <w:color w:val="005192"/>
        <w:sz w:val="28"/>
        <w:szCs w:val="44"/>
        <w:lang w:val="en-US" w:eastAsia="zh-CN"/>
      </w:rPr>
    </w:pPr>
    <w:r>
      <mc:AlternateContent>
        <mc:Choice Requires="wps">
          <w:drawing>
            <wp:anchor distT="10795" distB="15875" distL="0" distR="3175" simplePos="0" relativeHeight="251659264" behindDoc="1" locked="0" layoutInCell="0" allowOverlap="1">
              <wp:simplePos x="0" y="0"/>
              <wp:positionH relativeFrom="column">
                <wp:posOffset>0</wp:posOffset>
              </wp:positionH>
              <wp:positionV relativeFrom="paragraph">
                <wp:posOffset>74295</wp:posOffset>
              </wp:positionV>
              <wp:extent cx="5617210" cy="1905"/>
              <wp:effectExtent l="635" t="11430" r="635" b="11430"/>
              <wp:wrapNone/>
              <wp:docPr id="7" name="直接连接符 5_1"/>
              <wp:cNvGraphicFramePr/>
              <a:graphic xmlns:a="http://schemas.openxmlformats.org/drawingml/2006/main">
                <a:graphicData uri="http://schemas.microsoft.com/office/word/2010/wordprocessingShape">
                  <wps:wsp>
                    <wps:cNvCnPr/>
                    <wps:spPr>
                      <a:xfrm>
                        <a:off x="0" y="0"/>
                        <a:ext cx="5617080" cy="1800"/>
                      </a:xfrm>
                      <a:prstGeom prst="line">
                        <a:avLst/>
                      </a:prstGeom>
                      <a:ln w="22225">
                        <a:solidFill>
                          <a:srgbClr val="005192"/>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直接连接符 5_1" o:spid="_x0000_s1026" o:spt="20" style="position:absolute;left:0pt;margin-left:0pt;margin-top:5.85pt;height:0.15pt;width:442.3pt;z-index:-251657216;mso-width-relative:page;mso-height-relative:page;" filled="f" stroked="t" coordsize="21600,21600" o:allowincell="f" o:gfxdata="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CKMWLT&#10;AAAABgEAAA8AAAAAAAAAAQAgAAAAIgAAAGRycy9kb3ducmV2LnhtbFBLAQIUABQAAAAIAIdO4kAS&#10;DYX17AEAALcDAAAOAAAAAAAAAAEAIAAAACIBAABkcnMvZTJvRG9jLnhtbFBLBQYAAAAABgAGAFkB&#10;AACABQAAAAA=&#10;">
              <v:fill on="f" focussize="0,0"/>
              <v:stroke weight="1.75pt" color="#005192 [3204]" miterlimit="8" joinstyle="miter"/>
              <v:imagedata o:title=""/>
              <o:lock v:ext="edit" aspectratio="f"/>
            </v:line>
          </w:pict>
        </mc:Fallback>
      </mc:AlternateContent>
    </w:r>
    <w:r>
      <w:rPr>
        <w:rFonts w:eastAsia="仿宋"/>
        <w:color w:val="FAFAFA"/>
        <w:sz w:val="32"/>
        <w:szCs w:val="48"/>
        <w:lang w:val="en-US" w:eastAsia="zh-CN"/>
      </w:rPr>
      <w:t>X</w:t>
    </w:r>
    <w:r>
      <w:rPr>
        <w:rFonts w:ascii="宋体" w:hAnsi="宋体" w:eastAsia="宋体" w:cs="宋体"/>
        <w:b/>
        <w:bCs/>
        <w:color w:val="005192"/>
        <w:sz w:val="28"/>
        <w:szCs w:val="44"/>
        <w:lang w:val="en-US" w:eastAsia="zh-Hans"/>
      </w:rPr>
      <w:t>住房和城乡建设部</w:t>
    </w:r>
    <w:r>
      <w:rPr>
        <w:rFonts w:ascii="宋体" w:hAnsi="宋体" w:cs="宋体"/>
        <w:b/>
        <w:bCs/>
        <w:color w:val="005192"/>
        <w:sz w:val="28"/>
        <w:szCs w:val="44"/>
        <w:lang w:val="en-US" w:eastAsia="zh-CN"/>
      </w:rPr>
      <w:t xml:space="preserve">发布     </w:t>
    </w:r>
  </w:p>
  <w:p w14:paraId="1B300BD6">
    <w:pPr>
      <w:pStyle w:val="6"/>
      <w:ind w:left="4788" w:firstLine="5622"/>
      <w:jc w:val="right"/>
      <w:rPr>
        <w:rFonts w:ascii="宋体" w:hAnsi="宋体" w:eastAsia="宋体" w:cs="宋体"/>
        <w:b/>
        <w:bCs/>
        <w:color w:val="005192"/>
        <w:sz w:val="28"/>
        <w:szCs w:val="44"/>
        <w:lang w:val="en-US"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AF110">
    <w:pPr>
      <w:pStyle w:val="6"/>
      <w:keepNext w:val="0"/>
      <w:keepLines w:val="0"/>
      <w:pageBreakBefore w:val="0"/>
      <w:widowControl w:val="0"/>
      <w:overflowPunct/>
      <w:bidi w:val="0"/>
      <w:snapToGrid w:val="0"/>
      <w:textAlignment w:val="center"/>
      <w:rPr>
        <w:rFonts w:ascii="宋体" w:hAnsi="宋体" w:eastAsia="宋体" w:cs="宋体"/>
        <w:b/>
        <w:bCs/>
        <w:color w:val="005192"/>
        <w:sz w:val="32"/>
      </w:rPr>
    </w:pPr>
    <w:r>
      <w:rPr>
        <w:rFonts w:ascii="宋体" w:hAnsi="宋体" w:eastAsia="宋体" w:cs="宋体"/>
        <w:b/>
        <w:bCs/>
        <w:color w:val="005192"/>
        <w:sz w:val="32"/>
      </w:rPr>
      <mc:AlternateContent>
        <mc:Choice Requires="wps">
          <w:drawing>
            <wp:anchor distT="12700" distB="15875" distL="0" distR="18415" simplePos="0" relativeHeight="251659264" behindDoc="1" locked="0" layoutInCell="0" allowOverlap="1">
              <wp:simplePos x="0" y="0"/>
              <wp:positionH relativeFrom="column">
                <wp:posOffset>-3175</wp:posOffset>
              </wp:positionH>
              <wp:positionV relativeFrom="paragraph">
                <wp:posOffset>690245</wp:posOffset>
              </wp:positionV>
              <wp:extent cx="5621020" cy="0"/>
              <wp:effectExtent l="635" t="11430" r="0" b="11430"/>
              <wp:wrapNone/>
              <wp:docPr id="3" name="直接连接符 4_0"/>
              <wp:cNvGraphicFramePr/>
              <a:graphic xmlns:a="http://schemas.openxmlformats.org/drawingml/2006/main">
                <a:graphicData uri="http://schemas.microsoft.com/office/word/2010/wordprocessingShape">
                  <wps:wsp>
                    <wps:cNvCnPr/>
                    <wps:spPr>
                      <a:xfrm>
                        <a:off x="0" y="0"/>
                        <a:ext cx="5621040" cy="0"/>
                      </a:xfrm>
                      <a:prstGeom prst="line">
                        <a:avLst/>
                      </a:prstGeom>
                      <a:ln w="22225">
                        <a:solidFill>
                          <a:srgbClr val="005192"/>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直接连接符 4_0" o:spid="_x0000_s1026" o:spt="20" style="position:absolute;left:0pt;margin-left:-0.25pt;margin-top:54.35pt;height:0pt;width:442.6pt;z-index:-251657216;mso-width-relative:page;mso-height-relative:page;" filled="f" stroked="t" coordsize="21600,21600" o:allowincell="f" o:gfxdata="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WxFxVdUA&#10;AAAJAQAADwAAAAAAAAABACAAAAAiAAAAZHJzL2Rvd25yZXYueG1sUEsBAhQAFAAAAAgAh07iQPqo&#10;5TnpAQAAtAMAAA4AAAAAAAAAAQAgAAAAJAEAAGRycy9lMm9Eb2MueG1sUEsFBgAAAAAGAAYAWQEA&#10;AH8FAAAAAA==&#10;">
              <v:fill on="f" focussize="0,0"/>
              <v:stroke weight="1.75pt" color="#005192 [3204]" miterlimit="8" joinstyle="miter"/>
              <v:imagedata o:title=""/>
              <o:lock v:ext="edit" aspectratio="f"/>
            </v:line>
          </w:pict>
        </mc:Fallback>
      </mc:AlternateContent>
    </w:r>
  </w:p>
  <w:p w14:paraId="46428428">
    <w:pPr>
      <w:pStyle w:val="6"/>
      <w:keepNext w:val="0"/>
      <w:keepLines w:val="0"/>
      <w:pageBreakBefore w:val="0"/>
      <w:widowControl w:val="0"/>
      <w:overflowPunct/>
      <w:bidi w:val="0"/>
      <w:snapToGrid w:val="0"/>
      <w:textAlignment w:val="center"/>
      <w:rPr>
        <w:rFonts w:ascii="宋体" w:hAnsi="宋体" w:eastAsia="宋体" w:cs="宋体"/>
        <w:b/>
        <w:bCs/>
        <w:color w:val="005192"/>
        <w:sz w:val="32"/>
        <w:szCs w:val="32"/>
        <w:lang w:val="en-US" w:eastAsia="zh-CN"/>
      </w:rPr>
    </w:pPr>
    <w:r>
      <w:drawing>
        <wp:inline distT="0" distB="0" distL="0" distR="0">
          <wp:extent cx="308610" cy="308610"/>
          <wp:effectExtent l="0" t="0" r="0" b="0"/>
          <wp:docPr id="4" name="图像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像3" descr="国徽1024"/>
                  <pic:cNvPicPr>
                    <a:picLocks noChangeAspect="1" noChangeArrowheads="1"/>
                  </pic:cNvPicPr>
                </pic:nvPicPr>
                <pic:blipFill>
                  <a:blip r:embed="rId1"/>
                  <a:stretch>
                    <a:fillRect/>
                  </a:stretch>
                </pic:blipFill>
                <pic:spPr>
                  <a:xfrm>
                    <a:off x="0" y="0"/>
                    <a:ext cx="308610" cy="308610"/>
                  </a:xfrm>
                  <a:prstGeom prst="rect">
                    <a:avLst/>
                  </a:prstGeom>
                </pic:spPr>
              </pic:pic>
            </a:graphicData>
          </a:graphic>
        </wp:inline>
      </w:drawing>
    </w:r>
    <w:r>
      <w:rPr>
        <w:rFonts w:ascii="宋体" w:hAnsi="宋体" w:eastAsia="宋体" w:cs="宋体"/>
        <w:b/>
        <w:bCs/>
        <w:color w:val="005192"/>
        <w:sz w:val="32"/>
        <w:szCs w:val="32"/>
        <w:lang w:val="en-US" w:eastAsia="zh-Hans"/>
      </w:rPr>
      <w:t>住房和城乡建设部</w:t>
    </w:r>
    <w:r>
      <w:rPr>
        <w:rFonts w:ascii="宋体" w:hAnsi="宋体" w:cs="宋体"/>
        <w:b/>
        <w:bCs/>
        <w:color w:val="005192"/>
        <w:sz w:val="32"/>
        <w:szCs w:val="32"/>
        <w:lang w:val="en-US" w:eastAsia="zh-CN"/>
      </w:rPr>
      <w:t>规章</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A4985">
    <w:pPr>
      <w:pStyle w:val="6"/>
      <w:keepNext w:val="0"/>
      <w:keepLines w:val="0"/>
      <w:pageBreakBefore w:val="0"/>
      <w:widowControl w:val="0"/>
      <w:overflowPunct/>
      <w:bidi w:val="0"/>
      <w:snapToGrid w:val="0"/>
      <w:textAlignment w:val="center"/>
      <w:rPr>
        <w:rFonts w:ascii="宋体" w:hAnsi="宋体" w:eastAsia="宋体" w:cs="宋体"/>
        <w:b/>
        <w:bCs/>
        <w:color w:val="005192"/>
        <w:sz w:val="32"/>
      </w:rPr>
    </w:pPr>
    <w:r>
      <w:rPr>
        <w:rFonts w:ascii="宋体" w:hAnsi="宋体" w:eastAsia="宋体" w:cs="宋体"/>
        <w:b/>
        <w:bCs/>
        <w:color w:val="005192"/>
        <w:sz w:val="32"/>
      </w:rPr>
      <mc:AlternateContent>
        <mc:Choice Requires="wps">
          <w:drawing>
            <wp:anchor distT="12700" distB="15875" distL="0" distR="18415" simplePos="0" relativeHeight="251659264" behindDoc="1" locked="0" layoutInCell="0" allowOverlap="1">
              <wp:simplePos x="0" y="0"/>
              <wp:positionH relativeFrom="column">
                <wp:posOffset>-3175</wp:posOffset>
              </wp:positionH>
              <wp:positionV relativeFrom="paragraph">
                <wp:posOffset>690245</wp:posOffset>
              </wp:positionV>
              <wp:extent cx="5621020" cy="0"/>
              <wp:effectExtent l="635" t="11430" r="0" b="11430"/>
              <wp:wrapNone/>
              <wp:docPr id="1" name="直接连接符 4_0"/>
              <wp:cNvGraphicFramePr/>
              <a:graphic xmlns:a="http://schemas.openxmlformats.org/drawingml/2006/main">
                <a:graphicData uri="http://schemas.microsoft.com/office/word/2010/wordprocessingShape">
                  <wps:wsp>
                    <wps:cNvCnPr/>
                    <wps:spPr>
                      <a:xfrm>
                        <a:off x="0" y="0"/>
                        <a:ext cx="5621040" cy="0"/>
                      </a:xfrm>
                      <a:prstGeom prst="line">
                        <a:avLst/>
                      </a:prstGeom>
                      <a:ln w="22225">
                        <a:solidFill>
                          <a:srgbClr val="005192"/>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直接连接符 4_0" o:spid="_x0000_s1026" o:spt="20" style="position:absolute;left:0pt;margin-left:-0.25pt;margin-top:54.35pt;height:0pt;width:442.6pt;z-index:-251657216;mso-width-relative:page;mso-height-relative:page;" filled="f" stroked="t" coordsize="21600,21600" o:allowincell="f" o:gfxdata="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WxFxVdUA&#10;AAAJAQAADwAAAAAAAAABACAAAAAiAAAAZHJzL2Rvd25yZXYueG1sUEsBAhQAFAAAAAgAh07iQEXK&#10;C0jpAQAAtAMAAA4AAAAAAAAAAQAgAAAAJAEAAGRycy9lMm9Eb2MueG1sUEsFBgAAAAAGAAYAWQEA&#10;AH8FAAAAAA==&#10;">
              <v:fill on="f" focussize="0,0"/>
              <v:stroke weight="1.75pt" color="#005192 [3204]" miterlimit="8" joinstyle="miter"/>
              <v:imagedata o:title=""/>
              <o:lock v:ext="edit" aspectratio="f"/>
            </v:line>
          </w:pict>
        </mc:Fallback>
      </mc:AlternateContent>
    </w:r>
  </w:p>
  <w:p w14:paraId="2A8D4DF6">
    <w:pPr>
      <w:pStyle w:val="6"/>
      <w:keepNext w:val="0"/>
      <w:keepLines w:val="0"/>
      <w:pageBreakBefore w:val="0"/>
      <w:widowControl w:val="0"/>
      <w:overflowPunct/>
      <w:bidi w:val="0"/>
      <w:snapToGrid w:val="0"/>
      <w:textAlignment w:val="center"/>
      <w:rPr>
        <w:rFonts w:ascii="宋体" w:hAnsi="宋体" w:eastAsia="宋体" w:cs="宋体"/>
        <w:b/>
        <w:bCs/>
        <w:color w:val="005192"/>
        <w:sz w:val="32"/>
        <w:szCs w:val="32"/>
        <w:lang w:val="en-US" w:eastAsia="zh-CN"/>
      </w:rPr>
    </w:pPr>
    <w:r>
      <w:drawing>
        <wp:inline distT="0" distB="0" distL="0" distR="0">
          <wp:extent cx="308610" cy="308610"/>
          <wp:effectExtent l="0" t="0" r="0" b="0"/>
          <wp:docPr id="2" name="图像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像1" descr="国徽1024"/>
                  <pic:cNvPicPr>
                    <a:picLocks noChangeAspect="1" noChangeArrowheads="1"/>
                  </pic:cNvPicPr>
                </pic:nvPicPr>
                <pic:blipFill>
                  <a:blip r:embed="rId1"/>
                  <a:stretch>
                    <a:fillRect/>
                  </a:stretch>
                </pic:blipFill>
                <pic:spPr>
                  <a:xfrm>
                    <a:off x="0" y="0"/>
                    <a:ext cx="308610" cy="308610"/>
                  </a:xfrm>
                  <a:prstGeom prst="rect">
                    <a:avLst/>
                  </a:prstGeom>
                </pic:spPr>
              </pic:pic>
            </a:graphicData>
          </a:graphic>
        </wp:inline>
      </w:drawing>
    </w:r>
    <w:r>
      <w:rPr>
        <w:rFonts w:ascii="宋体" w:hAnsi="宋体" w:eastAsia="宋体" w:cs="宋体"/>
        <w:b/>
        <w:bCs/>
        <w:color w:val="005192"/>
        <w:sz w:val="32"/>
        <w:szCs w:val="32"/>
        <w:lang w:val="en-US" w:eastAsia="zh-Hans"/>
      </w:rPr>
      <w:t>住房和城乡建设部</w:t>
    </w:r>
    <w:r>
      <w:rPr>
        <w:rFonts w:ascii="宋体" w:hAnsi="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autoHyphenation/>
  <w:evenAndOddHeaders w:val="1"/>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071455"/>
    <w:rsid w:val="3EF65968"/>
    <w:rsid w:val="52814D09"/>
    <w:rsid w:val="5C462667"/>
    <w:rsid w:val="61964D1C"/>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spacing w:before="0" w:after="0"/>
      <w:jc w:val="both"/>
    </w:pPr>
    <w:rPr>
      <w:rFonts w:asciiTheme="minorHAnsi" w:hAnsiTheme="minorHAnsi" w:eastAsiaTheme="minorEastAsia" w:cstheme="minorBidi"/>
      <w:color w:val="auto"/>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caption"/>
    <w:basedOn w:val="1"/>
    <w:qFormat/>
    <w:uiPriority w:val="0"/>
    <w:pPr>
      <w:suppressLineNumbers/>
      <w:spacing w:before="120" w:after="120"/>
    </w:pPr>
    <w:rPr>
      <w:rFonts w:cs="Noto Sans CJK SC"/>
      <w:i/>
      <w:iCs/>
      <w:sz w:val="24"/>
      <w:szCs w:val="24"/>
    </w:rPr>
  </w:style>
  <w:style w:type="paragraph" w:styleId="3">
    <w:name w:val="annotation text"/>
    <w:basedOn w:val="1"/>
    <w:qFormat/>
    <w:uiPriority w:val="0"/>
    <w:pPr>
      <w:jc w:val="left"/>
    </w:pPr>
  </w:style>
  <w:style w:type="paragraph" w:styleId="4">
    <w:name w:val="Body Text"/>
    <w:basedOn w:val="1"/>
    <w:uiPriority w:val="0"/>
    <w:pPr>
      <w:spacing w:before="0" w:after="140" w:line="276" w:lineRule="auto"/>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tabs>
        <w:tab w:val="center" w:pos="4153"/>
        <w:tab w:val="right" w:pos="8306"/>
      </w:tabs>
      <w:snapToGrid w:val="0"/>
      <w:spacing w:line="240" w:lineRule="auto"/>
      <w:jc w:val="both"/>
    </w:pPr>
    <w:rPr>
      <w:sz w:val="18"/>
    </w:rPr>
  </w:style>
  <w:style w:type="paragraph" w:styleId="7">
    <w:name w:val="List"/>
    <w:basedOn w:val="4"/>
    <w:uiPriority w:val="0"/>
    <w:rPr>
      <w:rFonts w:cs="Noto Sans CJK SC"/>
    </w:rPr>
  </w:style>
  <w:style w:type="paragraph" w:customStyle="1" w:styleId="10">
    <w:name w:val="标题样式"/>
    <w:basedOn w:val="1"/>
    <w:next w:val="4"/>
    <w:qFormat/>
    <w:uiPriority w:val="0"/>
    <w:pPr>
      <w:keepNext/>
      <w:spacing w:before="240" w:after="120"/>
    </w:pPr>
    <w:rPr>
      <w:rFonts w:ascii="Liberation Sans" w:hAnsi="Liberation Sans" w:eastAsia="Noto Sans CJK SC" w:cs="Noto Sans CJK SC"/>
      <w:sz w:val="28"/>
      <w:szCs w:val="28"/>
    </w:rPr>
  </w:style>
  <w:style w:type="paragraph" w:customStyle="1" w:styleId="11">
    <w:name w:val="索引"/>
    <w:basedOn w:val="1"/>
    <w:qFormat/>
    <w:uiPriority w:val="0"/>
    <w:pPr>
      <w:suppressLineNumbers/>
    </w:pPr>
    <w:rPr>
      <w:rFonts w:cs="Noto Sans CJK SC"/>
    </w:rPr>
  </w:style>
  <w:style w:type="paragraph" w:customStyle="1" w:styleId="12">
    <w:name w:val="页眉与页脚"/>
    <w:basedOn w:val="1"/>
    <w:qFormat/>
    <w:uiPriority w:val="0"/>
  </w:style>
  <w:style w:type="paragraph" w:customStyle="1" w:styleId="13">
    <w:name w:val="框架内容"/>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3387</Words>
  <Characters>3421</Characters>
  <Paragraphs>11</Paragraphs>
  <TotalTime>5</TotalTime>
  <ScaleCrop>false</ScaleCrop>
  <LinksUpToDate>false</LinksUpToDate>
  <CharactersWithSpaces>3740</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刘蕾</cp:lastModifiedBy>
  <cp:lastPrinted>2021-10-26T03:30:00Z</cp:lastPrinted>
  <dcterms:modified xsi:type="dcterms:W3CDTF">2026-05-06T09:03:17Z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48C61CB29D3F4D9384F5922CF0F7FFB4</vt:lpwstr>
  </property>
  <property fmtid="{D5CDD505-2E9C-101B-9397-08002B2CF9AE}" pid="3" name="KSOProductBuildVer">
    <vt:lpwstr>2052-12.1.0.25865</vt:lpwstr>
  </property>
  <property fmtid="{D5CDD505-2E9C-101B-9397-08002B2CF9AE}" pid="4" name="KSOTemplateDocerSaveRecord">
    <vt:lpwstr>eyJoZGlkIjoiZDI3NWE5ZmMyYzI1Mzg2NjU5MzgwMjM3NWFkODMwMTIiLCJ1c2VySWQiOiI2MjA1MjU1MjkifQ==</vt:lpwstr>
  </property>
</Properties>
</file>